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F90565" w14:textId="2FB8E82F" w:rsidR="00DB0A4B" w:rsidRPr="00004F68" w:rsidRDefault="00DB0A4B" w:rsidP="00004F68">
      <w:pPr>
        <w:spacing w:before="120"/>
        <w:rPr>
          <w:rFonts w:ascii="Times" w:hAnsi="Times"/>
          <w:b/>
        </w:rPr>
      </w:pPr>
      <w:r w:rsidRPr="00004F68">
        <w:rPr>
          <w:rFonts w:ascii="Times" w:hAnsi="Times"/>
          <w:b/>
        </w:rPr>
        <w:t>Efficacy of Radiation Reduction Protocols for Diagnostic Angiography and Basic Interventions in Endovascular Neurosurgery</w:t>
      </w:r>
    </w:p>
    <w:p w14:paraId="68AC849A" w14:textId="7D75203B" w:rsidR="00DB0A4B" w:rsidRPr="00004F68" w:rsidRDefault="00DB0A4B" w:rsidP="00004F68">
      <w:pPr>
        <w:spacing w:before="120"/>
        <w:rPr>
          <w:rFonts w:ascii="Times" w:hAnsi="Times"/>
        </w:rPr>
      </w:pPr>
    </w:p>
    <w:p w14:paraId="11626A74" w14:textId="2E1DF2DE" w:rsidR="00004F68" w:rsidRPr="00756AE9" w:rsidRDefault="00004F68" w:rsidP="00756AE9">
      <w:pPr>
        <w:spacing w:before="120"/>
        <w:rPr>
          <w:rFonts w:ascii="Times" w:eastAsia="Times New Roman" w:hAnsi="Times" w:cs="Times New Roman"/>
        </w:rPr>
      </w:pPr>
      <w:r w:rsidRPr="00004F68">
        <w:rPr>
          <w:rFonts w:ascii="Times" w:eastAsia="Times New Roman" w:hAnsi="Times" w:cs="Times New Roman"/>
          <w:color w:val="000000"/>
        </w:rPr>
        <w:t>Arvin R. Wali MD, MAS, Michael G. Brandel</w:t>
      </w:r>
      <w:r>
        <w:rPr>
          <w:rFonts w:ascii="Times" w:eastAsia="Times New Roman" w:hAnsi="Times" w:cs="Times New Roman"/>
          <w:color w:val="000000"/>
        </w:rPr>
        <w:t xml:space="preserve"> MD, MAS,</w:t>
      </w:r>
      <w:r w:rsidRPr="00004F68">
        <w:rPr>
          <w:rFonts w:ascii="Times" w:eastAsia="Times New Roman" w:hAnsi="Times" w:cs="Times New Roman"/>
          <w:color w:val="000000"/>
        </w:rPr>
        <w:t xml:space="preserve"> </w:t>
      </w:r>
      <w:proofErr w:type="spellStart"/>
      <w:r w:rsidRPr="00004F68">
        <w:rPr>
          <w:rFonts w:ascii="Times" w:eastAsia="Times New Roman" w:hAnsi="Times" w:cs="Times New Roman"/>
          <w:color w:val="000000"/>
        </w:rPr>
        <w:t>Sarath</w:t>
      </w:r>
      <w:proofErr w:type="spellEnd"/>
      <w:r w:rsidRPr="00004F68">
        <w:rPr>
          <w:rFonts w:ascii="Times" w:eastAsia="Times New Roman" w:hAnsi="Times" w:cs="Times New Roman"/>
          <w:color w:val="000000"/>
        </w:rPr>
        <w:t xml:space="preserve"> </w:t>
      </w:r>
      <w:proofErr w:type="spellStart"/>
      <w:r w:rsidRPr="00004F68">
        <w:rPr>
          <w:rFonts w:ascii="Times" w:eastAsia="Times New Roman" w:hAnsi="Times" w:cs="Times New Roman"/>
          <w:color w:val="000000"/>
        </w:rPr>
        <w:t>Pathuri</w:t>
      </w:r>
      <w:proofErr w:type="spellEnd"/>
      <w:r w:rsidRPr="00004F68">
        <w:rPr>
          <w:rFonts w:ascii="Times" w:eastAsia="Times New Roman" w:hAnsi="Times" w:cs="Times New Roman"/>
          <w:color w:val="000000"/>
        </w:rPr>
        <w:t xml:space="preserve"> </w:t>
      </w:r>
      <w:r>
        <w:rPr>
          <w:rFonts w:ascii="Times" w:eastAsia="Times New Roman" w:hAnsi="Times" w:cs="Times New Roman"/>
          <w:color w:val="000000"/>
        </w:rPr>
        <w:t>BS</w:t>
      </w:r>
      <w:r w:rsidRPr="00004F68">
        <w:rPr>
          <w:rFonts w:ascii="Times" w:eastAsia="Times New Roman" w:hAnsi="Times" w:cs="Times New Roman"/>
          <w:color w:val="000000"/>
        </w:rPr>
        <w:t xml:space="preserve">, Brian R. </w:t>
      </w:r>
      <w:proofErr w:type="spellStart"/>
      <w:r w:rsidRPr="00004F68">
        <w:rPr>
          <w:rFonts w:ascii="Times" w:eastAsia="Times New Roman" w:hAnsi="Times" w:cs="Times New Roman"/>
          <w:color w:val="000000"/>
        </w:rPr>
        <w:t>Hirshman</w:t>
      </w:r>
      <w:proofErr w:type="spellEnd"/>
      <w:r w:rsidRPr="00004F68">
        <w:rPr>
          <w:rFonts w:ascii="Times" w:eastAsia="Times New Roman" w:hAnsi="Times" w:cs="Times New Roman"/>
          <w:color w:val="000000"/>
        </w:rPr>
        <w:t xml:space="preserve"> MD, PhD, Javier Bravo MD, Jeffrey Steinberg</w:t>
      </w:r>
      <w:r w:rsidR="00B4083B">
        <w:rPr>
          <w:rFonts w:ascii="Times" w:eastAsia="Times New Roman" w:hAnsi="Times" w:cs="Times New Roman"/>
          <w:color w:val="000000"/>
        </w:rPr>
        <w:t xml:space="preserve"> </w:t>
      </w:r>
      <w:r w:rsidRPr="00004F68">
        <w:rPr>
          <w:rFonts w:ascii="Times" w:eastAsia="Times New Roman" w:hAnsi="Times" w:cs="Times New Roman"/>
          <w:color w:val="000000"/>
        </w:rPr>
        <w:t>MD, Scott Olson MD, J. Scott Pannell MD, David R. Santiago-</w:t>
      </w:r>
      <w:proofErr w:type="spellStart"/>
      <w:r w:rsidRPr="00004F68">
        <w:rPr>
          <w:rFonts w:ascii="Times" w:eastAsia="Times New Roman" w:hAnsi="Times" w:cs="Times New Roman"/>
          <w:color w:val="000000"/>
        </w:rPr>
        <w:t>Dieppa</w:t>
      </w:r>
      <w:proofErr w:type="spellEnd"/>
      <w:r w:rsidRPr="00004F68">
        <w:rPr>
          <w:rFonts w:ascii="Times" w:eastAsia="Times New Roman" w:hAnsi="Times" w:cs="Times New Roman"/>
          <w:color w:val="000000"/>
        </w:rPr>
        <w:t xml:space="preserve"> MD</w:t>
      </w:r>
      <w:r>
        <w:rPr>
          <w:rFonts w:ascii="Times" w:eastAsia="Times New Roman" w:hAnsi="Times" w:cs="Times New Roman"/>
          <w:color w:val="000000"/>
        </w:rPr>
        <w:t xml:space="preserve">, </w:t>
      </w:r>
      <w:r w:rsidRPr="00004F68">
        <w:rPr>
          <w:rFonts w:ascii="Times" w:eastAsia="Times New Roman" w:hAnsi="Times" w:cs="Times New Roman"/>
          <w:color w:val="000000"/>
        </w:rPr>
        <w:t>Alexander A. Khalessi MD, MBA</w:t>
      </w:r>
    </w:p>
    <w:p w14:paraId="59BFFA7A" w14:textId="77777777" w:rsidR="00DB0A4B" w:rsidRPr="00004F68" w:rsidRDefault="00DB0A4B" w:rsidP="00004F68">
      <w:pPr>
        <w:spacing w:before="120"/>
        <w:rPr>
          <w:rFonts w:ascii="Times" w:hAnsi="Times"/>
        </w:rPr>
      </w:pPr>
    </w:p>
    <w:p w14:paraId="74522116" w14:textId="3D67FF75" w:rsidR="00E55D1C" w:rsidRPr="00004F68" w:rsidRDefault="003052A9" w:rsidP="00004F68">
      <w:pPr>
        <w:spacing w:before="120"/>
        <w:rPr>
          <w:rFonts w:ascii="Times" w:hAnsi="Times"/>
          <w:b/>
          <w:bCs/>
        </w:rPr>
      </w:pPr>
      <w:r w:rsidRPr="00004F68">
        <w:rPr>
          <w:rFonts w:ascii="Times" w:hAnsi="Times"/>
          <w:b/>
          <w:bCs/>
        </w:rPr>
        <w:t>Background</w:t>
      </w:r>
    </w:p>
    <w:p w14:paraId="665C7A5C" w14:textId="560A3320" w:rsidR="003052A9" w:rsidRPr="00004F68" w:rsidRDefault="003052A9" w:rsidP="00004F68">
      <w:pPr>
        <w:spacing w:before="120"/>
        <w:rPr>
          <w:rFonts w:ascii="Times" w:hAnsi="Times"/>
        </w:rPr>
      </w:pPr>
    </w:p>
    <w:p w14:paraId="32393489" w14:textId="743BB312" w:rsidR="003052A9" w:rsidRPr="00004F68" w:rsidRDefault="003052A9" w:rsidP="00004F68">
      <w:pPr>
        <w:spacing w:before="120"/>
        <w:rPr>
          <w:rFonts w:ascii="Times" w:hAnsi="Times" w:cs="Calibri"/>
          <w:color w:val="000000"/>
          <w:lang w:val="en"/>
        </w:rPr>
      </w:pPr>
      <w:r w:rsidRPr="00004F68">
        <w:rPr>
          <w:rFonts w:ascii="Times" w:hAnsi="Times"/>
        </w:rPr>
        <w:t>Safe radiation practices and “</w:t>
      </w:r>
      <w:r w:rsidRPr="00004F68">
        <w:rPr>
          <w:rFonts w:ascii="Times" w:hAnsi="Times" w:cs="Calibri"/>
          <w:color w:val="000000"/>
          <w:lang w:val="en"/>
        </w:rPr>
        <w:t xml:space="preserve">As Low </w:t>
      </w:r>
      <w:proofErr w:type="gramStart"/>
      <w:r w:rsidRPr="00004F68">
        <w:rPr>
          <w:rFonts w:ascii="Times" w:hAnsi="Times" w:cs="Calibri"/>
          <w:color w:val="000000"/>
          <w:lang w:val="en"/>
        </w:rPr>
        <w:t>As</w:t>
      </w:r>
      <w:proofErr w:type="gramEnd"/>
      <w:r w:rsidRPr="00004F68">
        <w:rPr>
          <w:rFonts w:ascii="Times" w:hAnsi="Times" w:cs="Calibri"/>
          <w:color w:val="000000"/>
          <w:lang w:val="en"/>
        </w:rPr>
        <w:t xml:space="preserve"> Reasonably Achievable” (ALARA) principles are critical to mitigate unnecessary radiation to patients, providers, and staff. </w:t>
      </w:r>
      <w:r w:rsidR="002358DF" w:rsidRPr="00004F68">
        <w:rPr>
          <w:rFonts w:ascii="Times" w:hAnsi="Times" w:cs="Calibri"/>
          <w:color w:val="000000"/>
          <w:lang w:val="en"/>
        </w:rPr>
        <w:t xml:space="preserve">Radiation has stochastic and deterministic effects that have deleterious effects on health and lead to complications such as cancer, leukemia, and cataracts. </w:t>
      </w:r>
      <w:r w:rsidRPr="00004F68">
        <w:rPr>
          <w:rFonts w:ascii="Times" w:hAnsi="Times" w:cs="Calibri"/>
          <w:color w:val="000000"/>
          <w:lang w:val="en"/>
        </w:rPr>
        <w:t xml:space="preserve">As the indications for neuroendovascular procedures continue to grow, </w:t>
      </w:r>
      <w:r w:rsidR="00086B6F" w:rsidRPr="00004F68">
        <w:rPr>
          <w:rFonts w:ascii="Times" w:hAnsi="Times" w:cs="Calibri"/>
          <w:color w:val="000000"/>
          <w:lang w:val="en"/>
        </w:rPr>
        <w:t>Neurointerventionalists</w:t>
      </w:r>
      <w:r w:rsidR="002358DF" w:rsidRPr="00004F68">
        <w:rPr>
          <w:rFonts w:ascii="Times" w:hAnsi="Times" w:cs="Calibri"/>
          <w:color w:val="000000"/>
          <w:lang w:val="en"/>
        </w:rPr>
        <w:t xml:space="preserve"> must have a strong command over practices that reduce unnecessary radiation dose. We applied a quality improvement protocol to manipulate default pulse rate and frame rate settings on our Siemens Artis Q biplane to determine if radiation safety practices could allow for quality diagnostic </w:t>
      </w:r>
      <w:r w:rsidR="001E285C" w:rsidRPr="00004F68">
        <w:rPr>
          <w:rFonts w:ascii="Times" w:hAnsi="Times" w:cs="Calibri"/>
          <w:color w:val="000000"/>
          <w:lang w:val="en"/>
        </w:rPr>
        <w:t>angiograms</w:t>
      </w:r>
      <w:r w:rsidR="002358DF" w:rsidRPr="00004F68">
        <w:rPr>
          <w:rFonts w:ascii="Times" w:hAnsi="Times" w:cs="Calibri"/>
          <w:color w:val="000000"/>
          <w:lang w:val="en"/>
        </w:rPr>
        <w:t xml:space="preserve"> and the performance of safe and effective interventions.</w:t>
      </w:r>
    </w:p>
    <w:p w14:paraId="6093A7DE" w14:textId="77777777" w:rsidR="003052A9" w:rsidRPr="00004F68" w:rsidRDefault="003052A9" w:rsidP="00004F68">
      <w:pPr>
        <w:spacing w:before="120"/>
        <w:rPr>
          <w:rFonts w:ascii="Times" w:hAnsi="Times"/>
        </w:rPr>
      </w:pPr>
    </w:p>
    <w:p w14:paraId="1766A62E" w14:textId="2240D1BA" w:rsidR="003052A9" w:rsidRPr="00004F68" w:rsidRDefault="003052A9" w:rsidP="00004F68">
      <w:pPr>
        <w:spacing w:before="120"/>
        <w:rPr>
          <w:rFonts w:ascii="Times" w:hAnsi="Times"/>
          <w:b/>
          <w:bCs/>
        </w:rPr>
      </w:pPr>
      <w:r w:rsidRPr="00004F68">
        <w:rPr>
          <w:rFonts w:ascii="Times" w:hAnsi="Times"/>
          <w:b/>
          <w:bCs/>
        </w:rPr>
        <w:t>Methods</w:t>
      </w:r>
    </w:p>
    <w:p w14:paraId="16B04710" w14:textId="08D0AC61" w:rsidR="0024266A" w:rsidRPr="00004F68" w:rsidRDefault="00214C66" w:rsidP="00004F68">
      <w:pPr>
        <w:spacing w:before="120"/>
        <w:rPr>
          <w:rFonts w:ascii="Times" w:hAnsi="Times" w:cs="Calibri"/>
          <w:color w:val="000000"/>
          <w:lang w:val="en"/>
        </w:rPr>
      </w:pPr>
      <w:r w:rsidRPr="00004F68">
        <w:rPr>
          <w:rFonts w:ascii="Times" w:hAnsi="Times" w:cs="Calibri"/>
          <w:color w:val="000000"/>
          <w:lang w:val="en"/>
        </w:rPr>
        <w:t>We implemented a radiation reduction</w:t>
      </w:r>
      <w:r w:rsidR="00086B6F" w:rsidRPr="00004F68">
        <w:rPr>
          <w:rFonts w:ascii="Times" w:hAnsi="Times" w:cs="Calibri"/>
          <w:color w:val="000000"/>
          <w:lang w:val="en"/>
        </w:rPr>
        <w:t xml:space="preserve"> protocol</w:t>
      </w:r>
      <w:r w:rsidRPr="00004F68">
        <w:rPr>
          <w:rFonts w:ascii="Times" w:hAnsi="Times" w:cs="Calibri"/>
          <w:color w:val="000000"/>
          <w:lang w:val="en"/>
        </w:rPr>
        <w:t xml:space="preserve"> January 1</w:t>
      </w:r>
      <w:r w:rsidRPr="00004F68">
        <w:rPr>
          <w:rFonts w:ascii="Times" w:hAnsi="Times" w:cs="Calibri"/>
          <w:color w:val="000000"/>
          <w:vertAlign w:val="superscript"/>
          <w:lang w:val="en"/>
        </w:rPr>
        <w:t>st</w:t>
      </w:r>
      <w:proofErr w:type="gramStart"/>
      <w:r w:rsidRPr="00004F68">
        <w:rPr>
          <w:rFonts w:ascii="Times" w:hAnsi="Times" w:cs="Calibri"/>
          <w:color w:val="000000"/>
          <w:lang w:val="en"/>
        </w:rPr>
        <w:t xml:space="preserve"> 2022</w:t>
      </w:r>
      <w:proofErr w:type="gramEnd"/>
      <w:r w:rsidRPr="00004F68">
        <w:rPr>
          <w:rFonts w:ascii="Times" w:hAnsi="Times" w:cs="Calibri"/>
          <w:color w:val="000000"/>
          <w:lang w:val="en"/>
        </w:rPr>
        <w:t xml:space="preserve"> in which </w:t>
      </w:r>
      <w:r w:rsidR="00D84B33" w:rsidRPr="00004F68">
        <w:rPr>
          <w:rFonts w:ascii="Times" w:hAnsi="Times" w:cs="Calibri"/>
          <w:color w:val="000000"/>
          <w:lang w:val="en"/>
        </w:rPr>
        <w:t xml:space="preserve">the default </w:t>
      </w:r>
      <w:r w:rsidRPr="00004F68">
        <w:rPr>
          <w:rFonts w:ascii="Times" w:hAnsi="Times" w:cs="Calibri"/>
          <w:color w:val="000000"/>
          <w:lang w:val="en"/>
        </w:rPr>
        <w:t>pulse rate and frame rate in our Siemens Artis Q biplane was reduced from 15 pulse</w:t>
      </w:r>
      <w:r w:rsidR="00212569" w:rsidRPr="00004F68">
        <w:rPr>
          <w:rFonts w:ascii="Times" w:hAnsi="Times" w:cs="Calibri"/>
          <w:color w:val="000000"/>
          <w:lang w:val="en"/>
        </w:rPr>
        <w:t>s</w:t>
      </w:r>
      <w:r w:rsidRPr="00004F68">
        <w:rPr>
          <w:rFonts w:ascii="Times" w:hAnsi="Times" w:cs="Calibri"/>
          <w:color w:val="000000"/>
          <w:lang w:val="en"/>
        </w:rPr>
        <w:t xml:space="preserve"> per second (p/s) to 7.5 p/s and 7.5 frames per second (f/s) to 4.0 f/s. </w:t>
      </w:r>
      <w:r w:rsidR="00E13878" w:rsidRPr="00004F68">
        <w:rPr>
          <w:rFonts w:ascii="Times" w:hAnsi="Times" w:cs="Calibri"/>
          <w:color w:val="000000"/>
          <w:lang w:val="en"/>
        </w:rPr>
        <w:t xml:space="preserve">We performed a retrospective review of prospectively acquired data </w:t>
      </w:r>
      <w:r w:rsidR="006609E4" w:rsidRPr="00004F68">
        <w:rPr>
          <w:rFonts w:ascii="Times" w:hAnsi="Times" w:cs="Calibri"/>
          <w:color w:val="000000"/>
          <w:lang w:val="en"/>
        </w:rPr>
        <w:t xml:space="preserve">to </w:t>
      </w:r>
      <w:r w:rsidR="00A2104F" w:rsidRPr="00004F68">
        <w:rPr>
          <w:rFonts w:ascii="Times" w:hAnsi="Times" w:cs="Calibri"/>
          <w:color w:val="000000"/>
          <w:lang w:val="en"/>
        </w:rPr>
        <w:t>calculate</w:t>
      </w:r>
      <w:r w:rsidR="006609E4" w:rsidRPr="00004F68">
        <w:rPr>
          <w:rFonts w:ascii="Times" w:hAnsi="Times" w:cs="Calibri"/>
          <w:color w:val="000000"/>
          <w:lang w:val="en"/>
        </w:rPr>
        <w:t xml:space="preserve"> the impact of our radiation reduction protocol on t</w:t>
      </w:r>
      <w:r w:rsidR="00E13878" w:rsidRPr="00004F68">
        <w:rPr>
          <w:rFonts w:ascii="Times" w:hAnsi="Times" w:cs="Calibri"/>
          <w:color w:val="000000"/>
          <w:lang w:val="en"/>
        </w:rPr>
        <w:t xml:space="preserve">otal radiation dose, radiation per angiographic run, total radiation exposure, and exposure per run. </w:t>
      </w:r>
      <w:r w:rsidR="00C25087" w:rsidRPr="00004F68">
        <w:rPr>
          <w:rFonts w:ascii="Times" w:hAnsi="Times" w:cs="Calibri"/>
          <w:color w:val="000000"/>
          <w:lang w:val="en"/>
        </w:rPr>
        <w:t xml:space="preserve"> </w:t>
      </w:r>
      <w:r w:rsidR="00FA0D73" w:rsidRPr="00004F68">
        <w:rPr>
          <w:rFonts w:ascii="Times" w:hAnsi="Times" w:cs="Calibri"/>
          <w:color w:val="000000"/>
          <w:lang w:val="en"/>
        </w:rPr>
        <w:t xml:space="preserve">We examined 29 consecutive </w:t>
      </w:r>
      <w:r w:rsidR="00EF66E9" w:rsidRPr="00004F68">
        <w:rPr>
          <w:rFonts w:ascii="Times" w:hAnsi="Times" w:cs="Calibri"/>
          <w:color w:val="000000"/>
          <w:lang w:val="en"/>
        </w:rPr>
        <w:t xml:space="preserve">diagnostic </w:t>
      </w:r>
      <w:r w:rsidR="00FA0D73" w:rsidRPr="00004F68">
        <w:rPr>
          <w:rFonts w:ascii="Times" w:hAnsi="Times" w:cs="Calibri"/>
          <w:color w:val="000000"/>
          <w:lang w:val="en"/>
        </w:rPr>
        <w:t xml:space="preserve">angiograms (16 prior to intervention, and 13 post intervention) and 16 </w:t>
      </w:r>
      <w:r w:rsidR="00C7630E" w:rsidRPr="00004F68">
        <w:rPr>
          <w:rFonts w:ascii="Times" w:hAnsi="Times" w:cs="Calibri"/>
          <w:color w:val="000000"/>
          <w:lang w:val="en"/>
        </w:rPr>
        <w:t>consecutive</w:t>
      </w:r>
      <w:r w:rsidR="00FA0D73" w:rsidRPr="00004F68">
        <w:rPr>
          <w:rFonts w:ascii="Times" w:hAnsi="Times" w:cs="Calibri"/>
          <w:color w:val="000000"/>
          <w:lang w:val="en"/>
        </w:rPr>
        <w:t xml:space="preserve">, unilateral middle meningeal artery </w:t>
      </w:r>
      <w:proofErr w:type="spellStart"/>
      <w:r w:rsidR="00FA0D73" w:rsidRPr="00004F68">
        <w:rPr>
          <w:rFonts w:ascii="Times" w:hAnsi="Times" w:cs="Calibri"/>
          <w:color w:val="000000"/>
          <w:lang w:val="en"/>
        </w:rPr>
        <w:t>embolizations</w:t>
      </w:r>
      <w:proofErr w:type="spellEnd"/>
      <w:r w:rsidR="00FA0D73" w:rsidRPr="00004F68">
        <w:rPr>
          <w:rFonts w:ascii="Times" w:hAnsi="Times" w:cs="Calibri"/>
          <w:color w:val="000000"/>
          <w:lang w:val="en"/>
        </w:rPr>
        <w:t xml:space="preserve"> (MMAEs)</w:t>
      </w:r>
      <w:r w:rsidR="001578EF" w:rsidRPr="00004F68">
        <w:rPr>
          <w:rFonts w:ascii="Times" w:hAnsi="Times" w:cs="Calibri"/>
          <w:color w:val="000000"/>
          <w:lang w:val="en"/>
        </w:rPr>
        <w:t xml:space="preserve"> </w:t>
      </w:r>
      <w:r w:rsidR="00D20228" w:rsidRPr="00004F68">
        <w:rPr>
          <w:rFonts w:ascii="Times" w:hAnsi="Times" w:cs="Calibri"/>
          <w:color w:val="000000"/>
          <w:lang w:val="en"/>
        </w:rPr>
        <w:t>(</w:t>
      </w:r>
      <w:r w:rsidR="001578EF" w:rsidRPr="00004F68">
        <w:rPr>
          <w:rFonts w:ascii="Times" w:hAnsi="Times" w:cs="Calibri"/>
          <w:color w:val="000000"/>
          <w:lang w:val="en"/>
        </w:rPr>
        <w:t xml:space="preserve">8 </w:t>
      </w:r>
      <w:r w:rsidR="00D20228" w:rsidRPr="00004F68">
        <w:rPr>
          <w:rFonts w:ascii="Times" w:hAnsi="Times" w:cs="Calibri"/>
          <w:color w:val="000000"/>
          <w:lang w:val="en"/>
        </w:rPr>
        <w:t>prior to intervention, and 8 post intervention)</w:t>
      </w:r>
      <w:r w:rsidR="00C631BE" w:rsidRPr="00004F68">
        <w:rPr>
          <w:rFonts w:ascii="Times" w:hAnsi="Times" w:cs="Calibri"/>
          <w:color w:val="000000"/>
          <w:lang w:val="en"/>
        </w:rPr>
        <w:t>.</w:t>
      </w:r>
      <w:r w:rsidR="00EE561B" w:rsidRPr="00004F68">
        <w:rPr>
          <w:rFonts w:ascii="Times" w:hAnsi="Times" w:cs="Calibri"/>
          <w:color w:val="000000"/>
          <w:lang w:val="en"/>
        </w:rPr>
        <w:t xml:space="preserve"> A blinded neuroradiologist reviewed the angiograms to determine if there was sufficient diagnostic information in the angiograms before and after intervention.</w:t>
      </w:r>
      <w:r w:rsidR="0024266A" w:rsidRPr="00004F68">
        <w:rPr>
          <w:rFonts w:ascii="Times" w:hAnsi="Times" w:cs="Calibri"/>
          <w:color w:val="000000"/>
          <w:lang w:val="en"/>
        </w:rPr>
        <w:t xml:space="preserve"> </w:t>
      </w:r>
      <w:r w:rsidR="006F078D" w:rsidRPr="00004F68">
        <w:rPr>
          <w:rFonts w:ascii="Times" w:hAnsi="Times" w:cs="Calibri"/>
          <w:color w:val="000000"/>
          <w:lang w:val="en"/>
        </w:rPr>
        <w:t>Univariable</w:t>
      </w:r>
      <w:r w:rsidR="003D0867" w:rsidRPr="00004F68">
        <w:rPr>
          <w:rFonts w:ascii="Times" w:hAnsi="Times" w:cs="Calibri"/>
          <w:color w:val="000000"/>
          <w:lang w:val="en"/>
        </w:rPr>
        <w:t xml:space="preserve"> and </w:t>
      </w:r>
      <w:r w:rsidR="00DB5AB0" w:rsidRPr="00004F68">
        <w:rPr>
          <w:rFonts w:ascii="Times" w:hAnsi="Times" w:cs="Calibri"/>
          <w:color w:val="000000"/>
          <w:lang w:val="en"/>
        </w:rPr>
        <w:t>m</w:t>
      </w:r>
      <w:r w:rsidR="0024266A" w:rsidRPr="00004F68">
        <w:rPr>
          <w:rFonts w:ascii="Times" w:hAnsi="Times" w:cs="Calibri"/>
          <w:color w:val="000000"/>
          <w:lang w:val="en"/>
        </w:rPr>
        <w:t xml:space="preserve">ultivariable log-linear regression </w:t>
      </w:r>
      <w:r w:rsidR="009F6F54" w:rsidRPr="00004F68">
        <w:rPr>
          <w:rFonts w:ascii="Times" w:hAnsi="Times" w:cs="Calibri"/>
          <w:color w:val="000000"/>
          <w:lang w:val="en"/>
        </w:rPr>
        <w:t>were</w:t>
      </w:r>
      <w:r w:rsidR="0024266A" w:rsidRPr="00004F68">
        <w:rPr>
          <w:rFonts w:ascii="Times" w:hAnsi="Times" w:cs="Calibri"/>
          <w:color w:val="000000"/>
          <w:lang w:val="en"/>
        </w:rPr>
        <w:t xml:space="preserve"> performed to account for patient body mass index (BMI), number of angiographic runs, and number of vessels catheterized. Statistical analysis was performed using </w:t>
      </w:r>
      <w:r w:rsidR="0024266A" w:rsidRPr="00004F68">
        <w:rPr>
          <w:rFonts w:ascii="Times" w:hAnsi="Times" w:cs="Calibri"/>
          <w:color w:val="000000"/>
        </w:rPr>
        <w:t>STATA MP Version 17.0 (Stata Corp LP, College Station, Texas). Significance was defined as p &lt; 0.05.</w:t>
      </w:r>
    </w:p>
    <w:p w14:paraId="63D0CB1D" w14:textId="77777777" w:rsidR="00E13878" w:rsidRPr="00004F68" w:rsidRDefault="00E13878" w:rsidP="00004F68">
      <w:pPr>
        <w:spacing w:before="120"/>
        <w:rPr>
          <w:rFonts w:ascii="Times" w:hAnsi="Times"/>
        </w:rPr>
      </w:pPr>
    </w:p>
    <w:p w14:paraId="29C5F230" w14:textId="5031AA91" w:rsidR="003052A9" w:rsidRPr="00004F68" w:rsidRDefault="003052A9" w:rsidP="00004F68">
      <w:pPr>
        <w:spacing w:before="120"/>
        <w:rPr>
          <w:rFonts w:ascii="Times" w:hAnsi="Times"/>
          <w:b/>
          <w:bCs/>
        </w:rPr>
      </w:pPr>
      <w:r w:rsidRPr="00004F68">
        <w:rPr>
          <w:rFonts w:ascii="Times" w:hAnsi="Times"/>
          <w:b/>
          <w:bCs/>
        </w:rPr>
        <w:t>Results</w:t>
      </w:r>
    </w:p>
    <w:p w14:paraId="74E9EA22" w14:textId="52E4DA8E" w:rsidR="00B57295" w:rsidRPr="00004F68" w:rsidRDefault="001829C9" w:rsidP="00004F68">
      <w:pPr>
        <w:spacing w:before="120"/>
        <w:rPr>
          <w:rFonts w:ascii="Times" w:hAnsi="Times"/>
        </w:rPr>
      </w:pPr>
      <w:r w:rsidRPr="00004F68">
        <w:rPr>
          <w:rFonts w:ascii="Times" w:hAnsi="Times"/>
        </w:rPr>
        <w:t xml:space="preserve">For the diagnostic angiograms, </w:t>
      </w:r>
      <w:r w:rsidR="00CE2F7B" w:rsidRPr="00004F68">
        <w:rPr>
          <w:rFonts w:ascii="Times" w:hAnsi="Times"/>
        </w:rPr>
        <w:t>u</w:t>
      </w:r>
      <w:r w:rsidRPr="00004F68">
        <w:rPr>
          <w:rFonts w:ascii="Times" w:hAnsi="Times"/>
        </w:rPr>
        <w:t>nivariable analysis revealed that radiation dose (550.5 vs. 353.3 mGy, p=0.005), radiation dose per angiographic run (34.6 vs. 21.9, p&lt;0.001), total radiation exposure (7050.7 vs. 4490.7 mGym2, p=0.013), and exposure per run (429.8 vs. 281.9, p&lt;0.001) were all significantly decreased after the protocol</w:t>
      </w:r>
      <w:r w:rsidR="00D60507" w:rsidRPr="00004F68">
        <w:rPr>
          <w:rFonts w:ascii="Times" w:hAnsi="Times"/>
        </w:rPr>
        <w:t xml:space="preserve">. On multivariable log-linear regression adjusting for BMI, number of runs, vessels catheterized, and fluoroscopy time, the protocol was associated with a 45.4% decrease in the total radiation dose (p&lt;0.001) and a 53.3% decrease in </w:t>
      </w:r>
      <w:r w:rsidR="00D60507" w:rsidRPr="00004F68">
        <w:rPr>
          <w:rFonts w:ascii="Times" w:hAnsi="Times"/>
        </w:rPr>
        <w:lastRenderedPageBreak/>
        <w:t>radiation dose per run (p&lt;0.001)</w:t>
      </w:r>
      <w:r w:rsidR="001651DB" w:rsidRPr="00004F68">
        <w:rPr>
          <w:rFonts w:ascii="Times" w:hAnsi="Times"/>
        </w:rPr>
        <w:t>.</w:t>
      </w:r>
      <w:r w:rsidR="00B57295" w:rsidRPr="00004F68">
        <w:rPr>
          <w:rFonts w:ascii="Times" w:hAnsi="Times"/>
        </w:rPr>
        <w:t xml:space="preserve"> For the MMAEs</w:t>
      </w:r>
      <w:r w:rsidR="00A33739" w:rsidRPr="00004F68">
        <w:rPr>
          <w:rFonts w:ascii="Times" w:hAnsi="Times"/>
        </w:rPr>
        <w:t>,</w:t>
      </w:r>
      <w:r w:rsidR="00B57295" w:rsidRPr="00004F68">
        <w:rPr>
          <w:rFonts w:ascii="Times" w:hAnsi="Times"/>
        </w:rPr>
        <w:t xml:space="preserve"> </w:t>
      </w:r>
      <w:r w:rsidR="00B57295" w:rsidRPr="00004F68">
        <w:rPr>
          <w:rFonts w:ascii="Times" w:hAnsi="Times" w:cs="Times New Roman"/>
          <w:bCs/>
          <w:color w:val="000000"/>
          <w:lang w:val="en"/>
        </w:rPr>
        <w:t xml:space="preserve">univariable analysis revealed that </w:t>
      </w:r>
      <w:r w:rsidR="00B57295" w:rsidRPr="00004F68">
        <w:rPr>
          <w:rFonts w:ascii="Times" w:hAnsi="Times" w:cs="Times New Roman"/>
          <w:color w:val="000000"/>
          <w:lang w:val="en"/>
        </w:rPr>
        <w:t xml:space="preserve">radiation dose </w:t>
      </w:r>
      <w:r w:rsidR="00B57295" w:rsidRPr="00004F68">
        <w:rPr>
          <w:rFonts w:ascii="Times" w:hAnsi="Times" w:cs="Times New Roman"/>
          <w:bCs/>
          <w:color w:val="000000"/>
          <w:lang w:val="en"/>
        </w:rPr>
        <w:t>(660.9 vs. 407.5 mGy, p</w:t>
      </w:r>
      <w:r w:rsidR="00BB37CD" w:rsidRPr="00004F68">
        <w:rPr>
          <w:rFonts w:ascii="Times" w:hAnsi="Times" w:cs="Times New Roman"/>
          <w:bCs/>
          <w:color w:val="000000"/>
          <w:lang w:val="en"/>
        </w:rPr>
        <w:t>=</w:t>
      </w:r>
      <w:r w:rsidR="00B57295" w:rsidRPr="00004F68">
        <w:rPr>
          <w:rFonts w:ascii="Times" w:hAnsi="Times" w:cs="Times New Roman"/>
          <w:bCs/>
          <w:color w:val="000000"/>
          <w:lang w:val="en"/>
        </w:rPr>
        <w:t>0.002)</w:t>
      </w:r>
      <w:r w:rsidR="00B57295" w:rsidRPr="00004F68">
        <w:rPr>
          <w:rFonts w:ascii="Times" w:hAnsi="Times" w:cs="Times New Roman"/>
          <w:color w:val="000000"/>
          <w:lang w:val="en"/>
        </w:rPr>
        <w:t xml:space="preserve">, radiation dose per angiographic run (40.3 vs. 25.7, p&lt;0.001), total radiation exposure (8825.8 vs. 5510.4 </w:t>
      </w:r>
      <w:r w:rsidR="00B57295" w:rsidRPr="00004F68">
        <w:rPr>
          <w:rFonts w:ascii="Times" w:hAnsi="Times" w:cs="Times New Roman"/>
          <w:color w:val="000000"/>
          <w:lang w:val="en"/>
        </w:rPr>
        <w:sym w:font="Symbol" w:char="F06D"/>
      </w:r>
      <w:r w:rsidR="00B57295" w:rsidRPr="00004F68">
        <w:rPr>
          <w:rFonts w:ascii="Times" w:hAnsi="Times" w:cs="Times New Roman"/>
          <w:color w:val="000000"/>
          <w:lang w:val="en"/>
        </w:rPr>
        <w:t>Gym</w:t>
      </w:r>
      <w:r w:rsidR="00B57295" w:rsidRPr="00004F68">
        <w:rPr>
          <w:rFonts w:ascii="Times" w:hAnsi="Times" w:cs="Times New Roman"/>
          <w:color w:val="000000"/>
          <w:vertAlign w:val="superscript"/>
          <w:lang w:val="en"/>
        </w:rPr>
        <w:t>2</w:t>
      </w:r>
      <w:r w:rsidR="00B57295" w:rsidRPr="00004F68">
        <w:rPr>
          <w:rFonts w:ascii="Times" w:hAnsi="Times" w:cs="Times New Roman"/>
          <w:color w:val="000000"/>
          <w:lang w:val="en"/>
        </w:rPr>
        <w:t>, p=0.002), and exposure per run (537.9 vs. 353.5, p=0.002) were all</w:t>
      </w:r>
      <w:r w:rsidR="00B57295" w:rsidRPr="00004F68">
        <w:rPr>
          <w:rFonts w:ascii="Times" w:hAnsi="Times" w:cs="Times New Roman"/>
          <w:bCs/>
          <w:color w:val="000000"/>
          <w:lang w:val="en"/>
        </w:rPr>
        <w:t xml:space="preserve"> significantly decreased after the protocol</w:t>
      </w:r>
      <w:r w:rsidR="00F00B26" w:rsidRPr="00004F68">
        <w:rPr>
          <w:rFonts w:ascii="Times" w:hAnsi="Times" w:cs="Times New Roman"/>
          <w:bCs/>
          <w:color w:val="000000"/>
          <w:lang w:val="en"/>
        </w:rPr>
        <w:t>.</w:t>
      </w:r>
      <w:r w:rsidR="00632BCE" w:rsidRPr="00004F68">
        <w:rPr>
          <w:rFonts w:ascii="Times" w:hAnsi="Times" w:cs="Times New Roman"/>
          <w:bCs/>
          <w:color w:val="000000"/>
          <w:lang w:val="en"/>
        </w:rPr>
        <w:t xml:space="preserve"> </w:t>
      </w:r>
      <w:r w:rsidR="0001224E" w:rsidRPr="00004F68">
        <w:rPr>
          <w:rFonts w:ascii="Times" w:hAnsi="Times" w:cs="Times New Roman"/>
          <w:bCs/>
          <w:color w:val="000000"/>
          <w:lang w:val="en"/>
        </w:rPr>
        <w:t>Both groups were well balanced in terms of clinical characteristics (</w:t>
      </w:r>
      <w:r w:rsidR="0001224E" w:rsidRPr="00004F68">
        <w:rPr>
          <w:rFonts w:ascii="Times" w:hAnsi="Times" w:cs="Times New Roman"/>
          <w:b/>
          <w:color w:val="000000"/>
          <w:lang w:val="en"/>
        </w:rPr>
        <w:t>Table 1 and 2</w:t>
      </w:r>
      <w:r w:rsidR="0001224E" w:rsidRPr="00004F68">
        <w:rPr>
          <w:rFonts w:ascii="Times" w:hAnsi="Times" w:cs="Times New Roman"/>
          <w:bCs/>
          <w:color w:val="000000"/>
          <w:lang w:val="en"/>
        </w:rPr>
        <w:t xml:space="preserve">). </w:t>
      </w:r>
      <w:r w:rsidR="00632BCE" w:rsidRPr="00004F68">
        <w:rPr>
          <w:rFonts w:ascii="Times" w:hAnsi="Times" w:cs="Times New Roman"/>
          <w:bCs/>
          <w:color w:val="000000"/>
          <w:lang w:val="en"/>
        </w:rPr>
        <w:t>No changes in image quality were identified by an expert interventional neuroradiologist. Fluoroscopy and procedural time did not differ between MMAE groups</w:t>
      </w:r>
      <w:r w:rsidR="00825554" w:rsidRPr="00004F68">
        <w:rPr>
          <w:rFonts w:ascii="Times" w:hAnsi="Times" w:cs="Times New Roman"/>
          <w:bCs/>
          <w:color w:val="000000"/>
          <w:lang w:val="en"/>
        </w:rPr>
        <w:t xml:space="preserve"> (20min vs 21min p=0.65)</w:t>
      </w:r>
      <w:r w:rsidR="00632BCE" w:rsidRPr="00004F68">
        <w:rPr>
          <w:rFonts w:ascii="Times" w:hAnsi="Times" w:cs="Times New Roman"/>
          <w:bCs/>
          <w:color w:val="000000"/>
          <w:lang w:val="en"/>
        </w:rPr>
        <w:t>.</w:t>
      </w:r>
    </w:p>
    <w:p w14:paraId="68B23FA2" w14:textId="77777777" w:rsidR="00B46970" w:rsidRPr="00004F68" w:rsidRDefault="00B46970" w:rsidP="00004F68">
      <w:pPr>
        <w:spacing w:before="120"/>
        <w:rPr>
          <w:rFonts w:ascii="Times" w:hAnsi="Times"/>
        </w:rPr>
      </w:pPr>
    </w:p>
    <w:p w14:paraId="5C72D98C" w14:textId="05682902" w:rsidR="003052A9" w:rsidRPr="00004F68" w:rsidRDefault="003052A9" w:rsidP="00826D3B">
      <w:pPr>
        <w:contextualSpacing/>
        <w:rPr>
          <w:rFonts w:ascii="Times" w:hAnsi="Times"/>
          <w:b/>
          <w:bCs/>
        </w:rPr>
      </w:pPr>
      <w:r w:rsidRPr="00004F68">
        <w:rPr>
          <w:rFonts w:ascii="Times" w:hAnsi="Times"/>
          <w:b/>
          <w:bCs/>
        </w:rPr>
        <w:t>Conclusions</w:t>
      </w:r>
    </w:p>
    <w:p w14:paraId="04BEFE29" w14:textId="77777777" w:rsidR="001950CC" w:rsidRDefault="00F00B26" w:rsidP="00826D3B">
      <w:pPr>
        <w:contextualSpacing/>
        <w:rPr>
          <w:rFonts w:ascii="Times" w:hAnsi="Times" w:cs="Times New Roman"/>
        </w:rPr>
      </w:pPr>
      <w:r w:rsidRPr="00004F68">
        <w:rPr>
          <w:rFonts w:ascii="Times" w:hAnsi="Times" w:cs="Times New Roman"/>
        </w:rPr>
        <w:t xml:space="preserve">Radiation reduction protocols </w:t>
      </w:r>
      <w:r w:rsidR="002A563F" w:rsidRPr="00004F68">
        <w:rPr>
          <w:rFonts w:ascii="Times" w:hAnsi="Times" w:cs="Times New Roman"/>
        </w:rPr>
        <w:t>are</w:t>
      </w:r>
      <w:r w:rsidR="007D6D1D" w:rsidRPr="00004F68">
        <w:rPr>
          <w:rFonts w:ascii="Times" w:hAnsi="Times" w:cs="Times New Roman"/>
        </w:rPr>
        <w:t xml:space="preserve"> highly effective for</w:t>
      </w:r>
      <w:r w:rsidRPr="00004F68">
        <w:rPr>
          <w:rFonts w:ascii="Times" w:hAnsi="Times" w:cs="Times New Roman"/>
        </w:rPr>
        <w:t xml:space="preserve"> neuroendovascular interventions</w:t>
      </w:r>
      <w:r w:rsidR="007D6D1D" w:rsidRPr="00004F68">
        <w:rPr>
          <w:rFonts w:ascii="Times" w:hAnsi="Times" w:cs="Times New Roman"/>
        </w:rPr>
        <w:t xml:space="preserve">. </w:t>
      </w:r>
      <w:r w:rsidRPr="00004F68">
        <w:rPr>
          <w:rFonts w:ascii="Times" w:hAnsi="Times" w:cs="Times New Roman"/>
        </w:rPr>
        <w:t xml:space="preserve">We strongly encourage all interventionalists to be cognizant of pulse rate and frame rate when performing routine interventions to avoid unnecessary radiation towards patients, providers, and </w:t>
      </w:r>
    </w:p>
    <w:p w14:paraId="66C62C6A" w14:textId="2691499F" w:rsidR="00F00B26" w:rsidRPr="00004F68" w:rsidRDefault="00F00B26" w:rsidP="00826D3B">
      <w:pPr>
        <w:contextualSpacing/>
        <w:rPr>
          <w:rFonts w:ascii="Times" w:hAnsi="Times" w:cs="Times New Roman"/>
        </w:rPr>
      </w:pPr>
      <w:r w:rsidRPr="00004F68">
        <w:rPr>
          <w:rFonts w:ascii="Times" w:hAnsi="Times" w:cs="Times New Roman"/>
        </w:rPr>
        <w:t xml:space="preserve">health care staff. </w:t>
      </w:r>
    </w:p>
    <w:p w14:paraId="10475762" w14:textId="060310DA" w:rsidR="001A556A" w:rsidRPr="00004F68" w:rsidRDefault="001A556A" w:rsidP="00004F68">
      <w:pPr>
        <w:spacing w:before="120"/>
        <w:rPr>
          <w:rFonts w:ascii="Times" w:hAnsi="Times"/>
        </w:rPr>
      </w:pPr>
    </w:p>
    <w:p w14:paraId="69AB8779" w14:textId="4DED0F46" w:rsidR="00321589" w:rsidRPr="001D378A" w:rsidRDefault="001950CC" w:rsidP="001D378A">
      <w:pPr>
        <w:spacing w:before="120" w:line="480" w:lineRule="auto"/>
        <w:contextualSpacing/>
        <w:jc w:val="both"/>
        <w:rPr>
          <w:rFonts w:ascii="Times" w:hAnsi="Times" w:cs="Times New Roman"/>
          <w:b/>
          <w:color w:val="000000"/>
          <w:lang w:val="en"/>
        </w:rPr>
      </w:pPr>
      <w:r>
        <w:rPr>
          <w:rFonts w:ascii="Times" w:hAnsi="Times" w:cs="Times New Roman"/>
          <w:b/>
          <w:color w:val="000000"/>
          <w:lang w:val="en"/>
        </w:rPr>
        <w:br/>
      </w:r>
      <w:r>
        <w:rPr>
          <w:rFonts w:ascii="Times" w:hAnsi="Times" w:cs="Times New Roman"/>
          <w:b/>
          <w:color w:val="000000"/>
          <w:lang w:val="en"/>
        </w:rPr>
        <w:br/>
      </w:r>
      <w:r>
        <w:rPr>
          <w:rFonts w:ascii="Times" w:hAnsi="Times" w:cs="Times New Roman"/>
          <w:b/>
          <w:color w:val="000000"/>
          <w:lang w:val="en"/>
        </w:rPr>
        <w:br/>
      </w:r>
      <w:r>
        <w:rPr>
          <w:rFonts w:ascii="Times" w:hAnsi="Times" w:cs="Times New Roman"/>
          <w:b/>
          <w:color w:val="000000"/>
          <w:lang w:val="en"/>
        </w:rPr>
        <w:br/>
      </w:r>
      <w:r>
        <w:rPr>
          <w:rFonts w:ascii="Times" w:hAnsi="Times" w:cs="Times New Roman"/>
          <w:b/>
          <w:color w:val="000000"/>
          <w:lang w:val="en"/>
        </w:rPr>
        <w:br/>
      </w:r>
      <w:r>
        <w:rPr>
          <w:rFonts w:ascii="Times" w:hAnsi="Times" w:cs="Times New Roman"/>
          <w:b/>
          <w:color w:val="000000"/>
          <w:lang w:val="en"/>
        </w:rPr>
        <w:br/>
      </w:r>
      <w:r>
        <w:rPr>
          <w:rFonts w:ascii="Times" w:hAnsi="Times" w:cs="Times New Roman"/>
          <w:b/>
          <w:color w:val="000000"/>
          <w:lang w:val="en"/>
        </w:rPr>
        <w:br/>
      </w:r>
      <w:r>
        <w:rPr>
          <w:rFonts w:ascii="Times" w:hAnsi="Times" w:cs="Times New Roman"/>
          <w:b/>
          <w:color w:val="000000"/>
          <w:lang w:val="en"/>
        </w:rPr>
        <w:br/>
      </w:r>
      <w:r>
        <w:rPr>
          <w:rFonts w:ascii="Times" w:hAnsi="Times" w:cs="Times New Roman"/>
          <w:b/>
          <w:color w:val="000000"/>
          <w:lang w:val="en"/>
        </w:rPr>
        <w:br/>
      </w:r>
      <w:r>
        <w:rPr>
          <w:rFonts w:ascii="Times" w:hAnsi="Times" w:cs="Times New Roman"/>
          <w:b/>
          <w:color w:val="000000"/>
          <w:lang w:val="en"/>
        </w:rPr>
        <w:br/>
      </w:r>
      <w:r>
        <w:rPr>
          <w:rFonts w:ascii="Times" w:hAnsi="Times" w:cs="Times New Roman"/>
          <w:b/>
          <w:color w:val="000000"/>
          <w:lang w:val="en"/>
        </w:rPr>
        <w:br/>
      </w:r>
      <w:r>
        <w:rPr>
          <w:rFonts w:ascii="Times" w:hAnsi="Times" w:cs="Times New Roman"/>
          <w:b/>
          <w:color w:val="000000"/>
          <w:lang w:val="en"/>
        </w:rPr>
        <w:br/>
      </w:r>
      <w:r>
        <w:rPr>
          <w:rFonts w:ascii="Times" w:hAnsi="Times" w:cs="Times New Roman"/>
          <w:b/>
          <w:color w:val="000000"/>
          <w:lang w:val="en"/>
        </w:rPr>
        <w:br/>
      </w:r>
      <w:r>
        <w:rPr>
          <w:rFonts w:ascii="Times" w:hAnsi="Times" w:cs="Times New Roman"/>
          <w:b/>
          <w:color w:val="000000"/>
          <w:lang w:val="en"/>
        </w:rPr>
        <w:br/>
      </w:r>
      <w:r>
        <w:rPr>
          <w:rFonts w:ascii="Times" w:hAnsi="Times" w:cs="Times New Roman"/>
          <w:b/>
          <w:color w:val="000000"/>
          <w:lang w:val="en"/>
        </w:rPr>
        <w:br/>
      </w:r>
      <w:r>
        <w:rPr>
          <w:rFonts w:ascii="Times" w:hAnsi="Times" w:cs="Times New Roman"/>
          <w:b/>
          <w:color w:val="000000"/>
          <w:lang w:val="en"/>
        </w:rPr>
        <w:lastRenderedPageBreak/>
        <w:br/>
      </w:r>
      <w:r w:rsidR="00321589" w:rsidRPr="00004F68">
        <w:rPr>
          <w:rFonts w:ascii="Times" w:hAnsi="Times" w:cs="Times New Roman"/>
          <w:b/>
          <w:color w:val="000000"/>
          <w:lang w:val="en"/>
        </w:rPr>
        <w:t>Table 1. Clinical Characteristics for the Diagnostic Angiography Group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45"/>
        <w:gridCol w:w="1800"/>
        <w:gridCol w:w="1710"/>
        <w:gridCol w:w="1440"/>
      </w:tblGrid>
      <w:tr w:rsidR="000C0EBD" w:rsidRPr="00004F68" w14:paraId="6002127D" w14:textId="77777777" w:rsidTr="005B7582">
        <w:trPr>
          <w:trHeight w:val="260"/>
        </w:trPr>
        <w:tc>
          <w:tcPr>
            <w:tcW w:w="3145" w:type="dxa"/>
            <w:noWrap/>
            <w:hideMark/>
          </w:tcPr>
          <w:p w14:paraId="0546D26C" w14:textId="77777777" w:rsidR="000C0EBD" w:rsidRPr="00004F68" w:rsidRDefault="000C0EBD" w:rsidP="00870A30">
            <w:pPr>
              <w:contextualSpacing/>
              <w:jc w:val="both"/>
              <w:rPr>
                <w:rFonts w:ascii="Times" w:hAnsi="Times" w:cs="Times New Roman"/>
                <w:b/>
                <w:color w:val="000000"/>
              </w:rPr>
            </w:pPr>
            <w:r w:rsidRPr="00004F68">
              <w:rPr>
                <w:rFonts w:ascii="Times" w:hAnsi="Times" w:cs="Times New Roman"/>
                <w:b/>
                <w:color w:val="000000"/>
              </w:rPr>
              <w:t>Factor</w:t>
            </w:r>
          </w:p>
        </w:tc>
        <w:tc>
          <w:tcPr>
            <w:tcW w:w="1800" w:type="dxa"/>
            <w:noWrap/>
            <w:hideMark/>
          </w:tcPr>
          <w:p w14:paraId="09033B40" w14:textId="77777777" w:rsidR="000C0EBD" w:rsidRPr="00004F68" w:rsidRDefault="000C0EBD" w:rsidP="00870A30">
            <w:pPr>
              <w:contextualSpacing/>
              <w:jc w:val="both"/>
              <w:rPr>
                <w:rFonts w:ascii="Times" w:hAnsi="Times" w:cs="Times New Roman"/>
                <w:b/>
                <w:color w:val="000000"/>
              </w:rPr>
            </w:pPr>
            <w:r w:rsidRPr="00004F68">
              <w:rPr>
                <w:rFonts w:ascii="Times" w:hAnsi="Times" w:cs="Times New Roman"/>
                <w:b/>
                <w:color w:val="000000"/>
              </w:rPr>
              <w:t>Before</w:t>
            </w:r>
          </w:p>
        </w:tc>
        <w:tc>
          <w:tcPr>
            <w:tcW w:w="1710" w:type="dxa"/>
            <w:noWrap/>
            <w:hideMark/>
          </w:tcPr>
          <w:p w14:paraId="5C04BAB3" w14:textId="77777777" w:rsidR="000C0EBD" w:rsidRPr="00004F68" w:rsidRDefault="000C0EBD" w:rsidP="00870A30">
            <w:pPr>
              <w:contextualSpacing/>
              <w:jc w:val="both"/>
              <w:rPr>
                <w:rFonts w:ascii="Times" w:hAnsi="Times" w:cs="Times New Roman"/>
                <w:b/>
                <w:color w:val="000000"/>
              </w:rPr>
            </w:pPr>
            <w:r w:rsidRPr="00004F68">
              <w:rPr>
                <w:rFonts w:ascii="Times" w:hAnsi="Times" w:cs="Times New Roman"/>
                <w:b/>
                <w:color w:val="000000"/>
              </w:rPr>
              <w:t>After</w:t>
            </w:r>
          </w:p>
        </w:tc>
        <w:tc>
          <w:tcPr>
            <w:tcW w:w="1440" w:type="dxa"/>
            <w:noWrap/>
            <w:hideMark/>
          </w:tcPr>
          <w:p w14:paraId="3C7B4490" w14:textId="77777777" w:rsidR="000C0EBD" w:rsidRPr="00004F68" w:rsidRDefault="000C0EBD" w:rsidP="00870A30">
            <w:pPr>
              <w:contextualSpacing/>
              <w:jc w:val="both"/>
              <w:rPr>
                <w:rFonts w:ascii="Times" w:hAnsi="Times" w:cs="Times New Roman"/>
                <w:b/>
                <w:color w:val="000000"/>
              </w:rPr>
            </w:pPr>
            <w:r w:rsidRPr="00004F68">
              <w:rPr>
                <w:rFonts w:ascii="Times" w:hAnsi="Times" w:cs="Times New Roman"/>
                <w:b/>
                <w:color w:val="000000"/>
              </w:rPr>
              <w:t>p-value</w:t>
            </w:r>
          </w:p>
        </w:tc>
      </w:tr>
      <w:tr w:rsidR="000C0EBD" w:rsidRPr="00004F68" w14:paraId="526FA32A" w14:textId="77777777" w:rsidTr="005B7582">
        <w:trPr>
          <w:trHeight w:val="260"/>
        </w:trPr>
        <w:tc>
          <w:tcPr>
            <w:tcW w:w="3145" w:type="dxa"/>
            <w:noWrap/>
            <w:hideMark/>
          </w:tcPr>
          <w:p w14:paraId="4A8C3EDE" w14:textId="77777777" w:rsidR="000C0EBD" w:rsidRPr="00004F68" w:rsidRDefault="000C0EBD" w:rsidP="00870A30">
            <w:pPr>
              <w:contextualSpacing/>
              <w:jc w:val="both"/>
              <w:rPr>
                <w:rFonts w:ascii="Times" w:hAnsi="Times" w:cs="Times New Roman"/>
                <w:bCs/>
                <w:color w:val="000000"/>
              </w:rPr>
            </w:pPr>
            <w:r w:rsidRPr="00004F68">
              <w:rPr>
                <w:rFonts w:ascii="Times" w:hAnsi="Times" w:cs="Times New Roman"/>
                <w:bCs/>
                <w:color w:val="000000"/>
              </w:rPr>
              <w:t>N</w:t>
            </w:r>
          </w:p>
        </w:tc>
        <w:tc>
          <w:tcPr>
            <w:tcW w:w="1800" w:type="dxa"/>
            <w:noWrap/>
            <w:hideMark/>
          </w:tcPr>
          <w:p w14:paraId="0154B55A" w14:textId="77777777" w:rsidR="000C0EBD" w:rsidRPr="00004F68" w:rsidRDefault="000C0EBD" w:rsidP="00870A30">
            <w:pPr>
              <w:contextualSpacing/>
              <w:jc w:val="both"/>
              <w:rPr>
                <w:rFonts w:ascii="Times" w:hAnsi="Times" w:cs="Times New Roman"/>
                <w:bCs/>
                <w:color w:val="000000"/>
              </w:rPr>
            </w:pPr>
            <w:r w:rsidRPr="00004F68">
              <w:rPr>
                <w:rFonts w:ascii="Times" w:hAnsi="Times" w:cs="Times New Roman"/>
                <w:bCs/>
                <w:color w:val="000000"/>
              </w:rPr>
              <w:t>16</w:t>
            </w:r>
          </w:p>
        </w:tc>
        <w:tc>
          <w:tcPr>
            <w:tcW w:w="1710" w:type="dxa"/>
            <w:noWrap/>
            <w:hideMark/>
          </w:tcPr>
          <w:p w14:paraId="29BDE3FC" w14:textId="77777777" w:rsidR="000C0EBD" w:rsidRPr="00004F68" w:rsidRDefault="000C0EBD" w:rsidP="00870A30">
            <w:pPr>
              <w:contextualSpacing/>
              <w:jc w:val="both"/>
              <w:rPr>
                <w:rFonts w:ascii="Times" w:hAnsi="Times" w:cs="Times New Roman"/>
                <w:bCs/>
                <w:color w:val="000000"/>
              </w:rPr>
            </w:pPr>
            <w:r w:rsidRPr="00004F68">
              <w:rPr>
                <w:rFonts w:ascii="Times" w:hAnsi="Times" w:cs="Times New Roman"/>
                <w:bCs/>
                <w:color w:val="000000"/>
              </w:rPr>
              <w:t>13</w:t>
            </w:r>
          </w:p>
        </w:tc>
        <w:tc>
          <w:tcPr>
            <w:tcW w:w="1440" w:type="dxa"/>
            <w:noWrap/>
            <w:hideMark/>
          </w:tcPr>
          <w:p w14:paraId="74E00D6A" w14:textId="77777777" w:rsidR="000C0EBD" w:rsidRPr="00004F68" w:rsidRDefault="000C0EBD" w:rsidP="00870A30">
            <w:pPr>
              <w:contextualSpacing/>
              <w:jc w:val="both"/>
              <w:rPr>
                <w:rFonts w:ascii="Times" w:hAnsi="Times" w:cs="Times New Roman"/>
                <w:bCs/>
                <w:color w:val="000000"/>
              </w:rPr>
            </w:pPr>
          </w:p>
        </w:tc>
      </w:tr>
      <w:tr w:rsidR="000C0EBD" w:rsidRPr="00004F68" w14:paraId="5E6D08BD" w14:textId="77777777" w:rsidTr="005B7582">
        <w:trPr>
          <w:trHeight w:val="260"/>
        </w:trPr>
        <w:tc>
          <w:tcPr>
            <w:tcW w:w="3145" w:type="dxa"/>
            <w:noWrap/>
            <w:hideMark/>
          </w:tcPr>
          <w:p w14:paraId="1FD36A09" w14:textId="77777777" w:rsidR="000C0EBD" w:rsidRPr="00004F68" w:rsidRDefault="000C0EBD" w:rsidP="00870A30">
            <w:pPr>
              <w:contextualSpacing/>
              <w:jc w:val="both"/>
              <w:rPr>
                <w:rFonts w:ascii="Times" w:hAnsi="Times" w:cs="Times New Roman"/>
                <w:bCs/>
                <w:color w:val="000000"/>
              </w:rPr>
            </w:pPr>
            <w:r w:rsidRPr="00004F68">
              <w:rPr>
                <w:rFonts w:ascii="Times" w:hAnsi="Times" w:cs="Times New Roman"/>
                <w:bCs/>
                <w:color w:val="000000"/>
              </w:rPr>
              <w:t>BMI, mean (SD)</w:t>
            </w:r>
          </w:p>
        </w:tc>
        <w:tc>
          <w:tcPr>
            <w:tcW w:w="1800" w:type="dxa"/>
            <w:noWrap/>
            <w:hideMark/>
          </w:tcPr>
          <w:p w14:paraId="0C97A4B4" w14:textId="77777777" w:rsidR="000C0EBD" w:rsidRPr="00004F68" w:rsidRDefault="000C0EBD" w:rsidP="00870A30">
            <w:pPr>
              <w:contextualSpacing/>
              <w:jc w:val="both"/>
              <w:rPr>
                <w:rFonts w:ascii="Times" w:hAnsi="Times" w:cs="Times New Roman"/>
                <w:bCs/>
                <w:color w:val="000000"/>
              </w:rPr>
            </w:pPr>
            <w:r w:rsidRPr="00004F68">
              <w:rPr>
                <w:rFonts w:ascii="Times" w:hAnsi="Times" w:cs="Times New Roman"/>
                <w:bCs/>
                <w:color w:val="000000"/>
              </w:rPr>
              <w:t>23.5 (3.2)</w:t>
            </w:r>
          </w:p>
        </w:tc>
        <w:tc>
          <w:tcPr>
            <w:tcW w:w="1710" w:type="dxa"/>
            <w:noWrap/>
            <w:hideMark/>
          </w:tcPr>
          <w:p w14:paraId="3096412B" w14:textId="77777777" w:rsidR="000C0EBD" w:rsidRPr="00004F68" w:rsidRDefault="000C0EBD" w:rsidP="00870A30">
            <w:pPr>
              <w:contextualSpacing/>
              <w:jc w:val="both"/>
              <w:rPr>
                <w:rFonts w:ascii="Times" w:hAnsi="Times" w:cs="Times New Roman"/>
                <w:bCs/>
                <w:color w:val="000000"/>
              </w:rPr>
            </w:pPr>
            <w:r w:rsidRPr="00004F68">
              <w:rPr>
                <w:rFonts w:ascii="Times" w:hAnsi="Times" w:cs="Times New Roman"/>
                <w:bCs/>
                <w:color w:val="000000"/>
              </w:rPr>
              <w:t>26.0 (7.3)</w:t>
            </w:r>
          </w:p>
        </w:tc>
        <w:tc>
          <w:tcPr>
            <w:tcW w:w="1440" w:type="dxa"/>
            <w:noWrap/>
            <w:hideMark/>
          </w:tcPr>
          <w:p w14:paraId="0F4ED5CE" w14:textId="77777777" w:rsidR="000C0EBD" w:rsidRPr="00004F68" w:rsidRDefault="000C0EBD" w:rsidP="00870A30">
            <w:pPr>
              <w:contextualSpacing/>
              <w:jc w:val="both"/>
              <w:rPr>
                <w:rFonts w:ascii="Times" w:hAnsi="Times" w:cs="Times New Roman"/>
                <w:bCs/>
                <w:color w:val="000000"/>
              </w:rPr>
            </w:pPr>
            <w:r w:rsidRPr="00004F68">
              <w:rPr>
                <w:rFonts w:ascii="Times" w:hAnsi="Times" w:cs="Times New Roman"/>
                <w:bCs/>
                <w:color w:val="000000"/>
              </w:rPr>
              <w:t>0.24</w:t>
            </w:r>
          </w:p>
        </w:tc>
      </w:tr>
      <w:tr w:rsidR="000C0EBD" w:rsidRPr="00004F68" w14:paraId="5D86B54F" w14:textId="77777777" w:rsidTr="005B7582">
        <w:trPr>
          <w:trHeight w:val="260"/>
        </w:trPr>
        <w:tc>
          <w:tcPr>
            <w:tcW w:w="3145" w:type="dxa"/>
            <w:noWrap/>
            <w:hideMark/>
          </w:tcPr>
          <w:p w14:paraId="17F530C0" w14:textId="77777777" w:rsidR="000C0EBD" w:rsidRPr="00A1611C" w:rsidRDefault="000C0EBD" w:rsidP="00870A30">
            <w:pPr>
              <w:contextualSpacing/>
              <w:jc w:val="both"/>
              <w:rPr>
                <w:rFonts w:ascii="Times" w:hAnsi="Times" w:cs="Times New Roman"/>
                <w:bCs/>
                <w:color w:val="FF0000"/>
              </w:rPr>
            </w:pPr>
            <w:r w:rsidRPr="00A1611C">
              <w:rPr>
                <w:rFonts w:ascii="Times" w:hAnsi="Times" w:cs="Times New Roman"/>
                <w:bCs/>
                <w:color w:val="FF0000"/>
              </w:rPr>
              <w:t>Total mGy, mean (SD)</w:t>
            </w:r>
          </w:p>
        </w:tc>
        <w:tc>
          <w:tcPr>
            <w:tcW w:w="1800" w:type="dxa"/>
            <w:noWrap/>
            <w:hideMark/>
          </w:tcPr>
          <w:p w14:paraId="345BF36B" w14:textId="77777777" w:rsidR="000C0EBD" w:rsidRPr="00A1611C" w:rsidRDefault="000C0EBD" w:rsidP="00870A30">
            <w:pPr>
              <w:contextualSpacing/>
              <w:jc w:val="both"/>
              <w:rPr>
                <w:rFonts w:ascii="Times" w:hAnsi="Times" w:cs="Times New Roman"/>
                <w:bCs/>
                <w:color w:val="FF0000"/>
              </w:rPr>
            </w:pPr>
            <w:r w:rsidRPr="00A1611C">
              <w:rPr>
                <w:rFonts w:ascii="Times" w:hAnsi="Times" w:cs="Times New Roman"/>
                <w:bCs/>
                <w:color w:val="FF0000"/>
              </w:rPr>
              <w:t>550.5 (223.1)</w:t>
            </w:r>
          </w:p>
        </w:tc>
        <w:tc>
          <w:tcPr>
            <w:tcW w:w="1710" w:type="dxa"/>
            <w:noWrap/>
            <w:hideMark/>
          </w:tcPr>
          <w:p w14:paraId="46961627" w14:textId="77777777" w:rsidR="000C0EBD" w:rsidRPr="00A1611C" w:rsidRDefault="000C0EBD" w:rsidP="00870A30">
            <w:pPr>
              <w:contextualSpacing/>
              <w:jc w:val="both"/>
              <w:rPr>
                <w:rFonts w:ascii="Times" w:hAnsi="Times" w:cs="Times New Roman"/>
                <w:bCs/>
                <w:color w:val="FF0000"/>
              </w:rPr>
            </w:pPr>
            <w:r w:rsidRPr="00A1611C">
              <w:rPr>
                <w:rFonts w:ascii="Times" w:hAnsi="Times" w:cs="Times New Roman"/>
                <w:bCs/>
                <w:color w:val="FF0000"/>
              </w:rPr>
              <w:t>353.3 (80.8)</w:t>
            </w:r>
          </w:p>
        </w:tc>
        <w:tc>
          <w:tcPr>
            <w:tcW w:w="1440" w:type="dxa"/>
            <w:noWrap/>
            <w:hideMark/>
          </w:tcPr>
          <w:p w14:paraId="06DCBE8C" w14:textId="77777777" w:rsidR="000C0EBD" w:rsidRPr="00A1611C" w:rsidRDefault="000C0EBD" w:rsidP="00870A30">
            <w:pPr>
              <w:contextualSpacing/>
              <w:jc w:val="both"/>
              <w:rPr>
                <w:rFonts w:ascii="Times" w:hAnsi="Times" w:cs="Times New Roman"/>
                <w:bCs/>
                <w:color w:val="FF0000"/>
              </w:rPr>
            </w:pPr>
            <w:r w:rsidRPr="00A1611C">
              <w:rPr>
                <w:rFonts w:ascii="Times" w:hAnsi="Times" w:cs="Times New Roman"/>
                <w:bCs/>
                <w:color w:val="FF0000"/>
              </w:rPr>
              <w:t>0.005</w:t>
            </w:r>
          </w:p>
        </w:tc>
      </w:tr>
      <w:tr w:rsidR="000C0EBD" w:rsidRPr="00004F68" w14:paraId="75257667" w14:textId="77777777" w:rsidTr="005B7582">
        <w:trPr>
          <w:trHeight w:val="260"/>
        </w:trPr>
        <w:tc>
          <w:tcPr>
            <w:tcW w:w="3145" w:type="dxa"/>
            <w:noWrap/>
            <w:hideMark/>
          </w:tcPr>
          <w:p w14:paraId="13E6773C" w14:textId="77777777" w:rsidR="000C0EBD" w:rsidRPr="00004F68" w:rsidRDefault="000C0EBD" w:rsidP="00870A30">
            <w:pPr>
              <w:contextualSpacing/>
              <w:jc w:val="both"/>
              <w:rPr>
                <w:rFonts w:ascii="Times" w:hAnsi="Times" w:cs="Times New Roman"/>
                <w:bCs/>
                <w:color w:val="000000"/>
              </w:rPr>
            </w:pPr>
            <w:r w:rsidRPr="00004F68">
              <w:rPr>
                <w:rFonts w:ascii="Times" w:hAnsi="Times" w:cs="Times New Roman"/>
                <w:bCs/>
                <w:color w:val="000000"/>
              </w:rPr>
              <w:t>Total Exposure, mean (SD)</w:t>
            </w:r>
          </w:p>
        </w:tc>
        <w:tc>
          <w:tcPr>
            <w:tcW w:w="1800" w:type="dxa"/>
            <w:noWrap/>
            <w:hideMark/>
          </w:tcPr>
          <w:p w14:paraId="0B7902FB" w14:textId="77777777" w:rsidR="000C0EBD" w:rsidRPr="00004F68" w:rsidRDefault="000C0EBD" w:rsidP="00870A30">
            <w:pPr>
              <w:contextualSpacing/>
              <w:jc w:val="both"/>
              <w:rPr>
                <w:rFonts w:ascii="Times" w:hAnsi="Times" w:cs="Times New Roman"/>
                <w:bCs/>
                <w:color w:val="000000"/>
              </w:rPr>
            </w:pPr>
            <w:r w:rsidRPr="00004F68">
              <w:rPr>
                <w:rFonts w:ascii="Times" w:hAnsi="Times" w:cs="Times New Roman"/>
                <w:bCs/>
                <w:color w:val="000000"/>
              </w:rPr>
              <w:t>7050.7 (3340.3)</w:t>
            </w:r>
          </w:p>
        </w:tc>
        <w:tc>
          <w:tcPr>
            <w:tcW w:w="1710" w:type="dxa"/>
            <w:noWrap/>
            <w:hideMark/>
          </w:tcPr>
          <w:p w14:paraId="3C7403EB" w14:textId="77777777" w:rsidR="000C0EBD" w:rsidRPr="00004F68" w:rsidRDefault="000C0EBD" w:rsidP="00870A30">
            <w:pPr>
              <w:contextualSpacing/>
              <w:jc w:val="both"/>
              <w:rPr>
                <w:rFonts w:ascii="Times" w:hAnsi="Times" w:cs="Times New Roman"/>
                <w:bCs/>
                <w:color w:val="000000"/>
              </w:rPr>
            </w:pPr>
            <w:r w:rsidRPr="00004F68">
              <w:rPr>
                <w:rFonts w:ascii="Times" w:hAnsi="Times" w:cs="Times New Roman"/>
                <w:bCs/>
                <w:color w:val="000000"/>
              </w:rPr>
              <w:t>4490.7 (1024.9)</w:t>
            </w:r>
          </w:p>
        </w:tc>
        <w:tc>
          <w:tcPr>
            <w:tcW w:w="1440" w:type="dxa"/>
            <w:noWrap/>
            <w:hideMark/>
          </w:tcPr>
          <w:p w14:paraId="49C712B5" w14:textId="77777777" w:rsidR="000C0EBD" w:rsidRPr="00004F68" w:rsidRDefault="000C0EBD" w:rsidP="00870A30">
            <w:pPr>
              <w:contextualSpacing/>
              <w:jc w:val="both"/>
              <w:rPr>
                <w:rFonts w:ascii="Times" w:hAnsi="Times" w:cs="Times New Roman"/>
                <w:bCs/>
                <w:color w:val="000000"/>
              </w:rPr>
            </w:pPr>
            <w:r w:rsidRPr="00004F68">
              <w:rPr>
                <w:rFonts w:ascii="Times" w:hAnsi="Times" w:cs="Times New Roman"/>
                <w:bCs/>
                <w:color w:val="000000"/>
              </w:rPr>
              <w:t>0.013</w:t>
            </w:r>
          </w:p>
        </w:tc>
      </w:tr>
      <w:tr w:rsidR="000C0EBD" w:rsidRPr="00004F68" w14:paraId="27550999" w14:textId="77777777" w:rsidTr="005B7582">
        <w:trPr>
          <w:trHeight w:val="260"/>
        </w:trPr>
        <w:tc>
          <w:tcPr>
            <w:tcW w:w="3145" w:type="dxa"/>
            <w:noWrap/>
            <w:hideMark/>
          </w:tcPr>
          <w:p w14:paraId="393C46A7" w14:textId="77777777" w:rsidR="000C0EBD" w:rsidRPr="00004F68" w:rsidRDefault="000C0EBD" w:rsidP="00870A30">
            <w:pPr>
              <w:contextualSpacing/>
              <w:jc w:val="both"/>
              <w:rPr>
                <w:rFonts w:ascii="Times" w:hAnsi="Times" w:cs="Times New Roman"/>
                <w:bCs/>
                <w:color w:val="000000"/>
              </w:rPr>
            </w:pPr>
            <w:r w:rsidRPr="00004F68">
              <w:rPr>
                <w:rFonts w:ascii="Times" w:hAnsi="Times" w:cs="Times New Roman"/>
                <w:bCs/>
                <w:color w:val="000000"/>
              </w:rPr>
              <w:t>Spin performed, N (%)</w:t>
            </w:r>
          </w:p>
        </w:tc>
        <w:tc>
          <w:tcPr>
            <w:tcW w:w="1800" w:type="dxa"/>
            <w:noWrap/>
            <w:hideMark/>
          </w:tcPr>
          <w:p w14:paraId="586F4A9C" w14:textId="77777777" w:rsidR="000C0EBD" w:rsidRPr="00004F68" w:rsidRDefault="000C0EBD" w:rsidP="00870A30">
            <w:pPr>
              <w:contextualSpacing/>
              <w:jc w:val="both"/>
              <w:rPr>
                <w:rFonts w:ascii="Times" w:hAnsi="Times" w:cs="Times New Roman"/>
                <w:bCs/>
                <w:color w:val="000000"/>
              </w:rPr>
            </w:pPr>
            <w:r w:rsidRPr="00004F68">
              <w:rPr>
                <w:rFonts w:ascii="Times" w:hAnsi="Times" w:cs="Times New Roman"/>
                <w:bCs/>
                <w:color w:val="000000"/>
              </w:rPr>
              <w:t>0 (0%)</w:t>
            </w:r>
          </w:p>
        </w:tc>
        <w:tc>
          <w:tcPr>
            <w:tcW w:w="1710" w:type="dxa"/>
            <w:noWrap/>
            <w:hideMark/>
          </w:tcPr>
          <w:p w14:paraId="408E29A0" w14:textId="77777777" w:rsidR="000C0EBD" w:rsidRPr="00004F68" w:rsidRDefault="000C0EBD" w:rsidP="00870A30">
            <w:pPr>
              <w:contextualSpacing/>
              <w:jc w:val="both"/>
              <w:rPr>
                <w:rFonts w:ascii="Times" w:hAnsi="Times" w:cs="Times New Roman"/>
                <w:bCs/>
                <w:color w:val="000000"/>
              </w:rPr>
            </w:pPr>
            <w:r w:rsidRPr="00004F68">
              <w:rPr>
                <w:rFonts w:ascii="Times" w:hAnsi="Times" w:cs="Times New Roman"/>
                <w:bCs/>
                <w:color w:val="000000"/>
              </w:rPr>
              <w:t>3 (23%)</w:t>
            </w:r>
          </w:p>
        </w:tc>
        <w:tc>
          <w:tcPr>
            <w:tcW w:w="1440" w:type="dxa"/>
            <w:noWrap/>
            <w:hideMark/>
          </w:tcPr>
          <w:p w14:paraId="28DFA8A2" w14:textId="77777777" w:rsidR="000C0EBD" w:rsidRPr="00004F68" w:rsidRDefault="000C0EBD" w:rsidP="00870A30">
            <w:pPr>
              <w:contextualSpacing/>
              <w:jc w:val="both"/>
              <w:rPr>
                <w:rFonts w:ascii="Times" w:hAnsi="Times" w:cs="Times New Roman"/>
                <w:bCs/>
                <w:color w:val="000000"/>
              </w:rPr>
            </w:pPr>
            <w:r w:rsidRPr="00004F68">
              <w:rPr>
                <w:rFonts w:ascii="Times" w:hAnsi="Times" w:cs="Times New Roman"/>
                <w:bCs/>
                <w:color w:val="000000"/>
              </w:rPr>
              <w:t>0.042</w:t>
            </w:r>
          </w:p>
        </w:tc>
      </w:tr>
      <w:tr w:rsidR="000C0EBD" w:rsidRPr="00004F68" w14:paraId="0C9C26B3" w14:textId="77777777" w:rsidTr="005B7582">
        <w:trPr>
          <w:trHeight w:val="260"/>
        </w:trPr>
        <w:tc>
          <w:tcPr>
            <w:tcW w:w="3145" w:type="dxa"/>
            <w:noWrap/>
            <w:hideMark/>
          </w:tcPr>
          <w:p w14:paraId="045DF5A6" w14:textId="77777777" w:rsidR="000C0EBD" w:rsidRPr="00A1611C" w:rsidRDefault="000C0EBD" w:rsidP="00870A30">
            <w:pPr>
              <w:contextualSpacing/>
              <w:jc w:val="both"/>
              <w:rPr>
                <w:rFonts w:ascii="Times" w:hAnsi="Times" w:cs="Times New Roman"/>
                <w:bCs/>
                <w:color w:val="FF0000"/>
              </w:rPr>
            </w:pPr>
            <w:r w:rsidRPr="00A1611C">
              <w:rPr>
                <w:rFonts w:ascii="Times" w:hAnsi="Times" w:cs="Times New Roman"/>
                <w:bCs/>
                <w:color w:val="FF0000"/>
              </w:rPr>
              <w:t>Fluoroscopy time (minutes), mean (SD)</w:t>
            </w:r>
          </w:p>
        </w:tc>
        <w:tc>
          <w:tcPr>
            <w:tcW w:w="1800" w:type="dxa"/>
            <w:noWrap/>
            <w:hideMark/>
          </w:tcPr>
          <w:p w14:paraId="23A58439" w14:textId="77777777" w:rsidR="000C0EBD" w:rsidRPr="00A1611C" w:rsidRDefault="000C0EBD" w:rsidP="00870A30">
            <w:pPr>
              <w:contextualSpacing/>
              <w:jc w:val="both"/>
              <w:rPr>
                <w:rFonts w:ascii="Times" w:hAnsi="Times" w:cs="Times New Roman"/>
                <w:bCs/>
                <w:color w:val="FF0000"/>
              </w:rPr>
            </w:pPr>
            <w:r w:rsidRPr="00A1611C">
              <w:rPr>
                <w:rFonts w:ascii="Times" w:hAnsi="Times" w:cs="Times New Roman"/>
                <w:bCs/>
                <w:color w:val="FF0000"/>
              </w:rPr>
              <w:t>8.9 (5.4)</w:t>
            </w:r>
          </w:p>
        </w:tc>
        <w:tc>
          <w:tcPr>
            <w:tcW w:w="1710" w:type="dxa"/>
            <w:noWrap/>
            <w:hideMark/>
          </w:tcPr>
          <w:p w14:paraId="1FCE4AE9" w14:textId="77777777" w:rsidR="000C0EBD" w:rsidRPr="00A1611C" w:rsidRDefault="000C0EBD" w:rsidP="00870A30">
            <w:pPr>
              <w:contextualSpacing/>
              <w:jc w:val="both"/>
              <w:rPr>
                <w:rFonts w:ascii="Times" w:hAnsi="Times" w:cs="Times New Roman"/>
                <w:bCs/>
                <w:color w:val="FF0000"/>
              </w:rPr>
            </w:pPr>
            <w:r w:rsidRPr="00A1611C">
              <w:rPr>
                <w:rFonts w:ascii="Times" w:hAnsi="Times" w:cs="Times New Roman"/>
                <w:bCs/>
                <w:color w:val="FF0000"/>
              </w:rPr>
              <w:t>8.9 (2.8)</w:t>
            </w:r>
          </w:p>
        </w:tc>
        <w:tc>
          <w:tcPr>
            <w:tcW w:w="1440" w:type="dxa"/>
            <w:noWrap/>
            <w:hideMark/>
          </w:tcPr>
          <w:p w14:paraId="481C9C11" w14:textId="77777777" w:rsidR="000C0EBD" w:rsidRPr="00A1611C" w:rsidRDefault="000C0EBD" w:rsidP="00870A30">
            <w:pPr>
              <w:contextualSpacing/>
              <w:jc w:val="both"/>
              <w:rPr>
                <w:rFonts w:ascii="Times" w:hAnsi="Times" w:cs="Times New Roman"/>
                <w:bCs/>
                <w:color w:val="FF0000"/>
              </w:rPr>
            </w:pPr>
            <w:r w:rsidRPr="00A1611C">
              <w:rPr>
                <w:rFonts w:ascii="Times" w:hAnsi="Times" w:cs="Times New Roman"/>
                <w:bCs/>
                <w:color w:val="FF0000"/>
              </w:rPr>
              <w:t>1.00</w:t>
            </w:r>
          </w:p>
        </w:tc>
      </w:tr>
      <w:tr w:rsidR="000C0EBD" w:rsidRPr="00004F68" w14:paraId="780BB4E2" w14:textId="77777777" w:rsidTr="005B7582">
        <w:trPr>
          <w:trHeight w:val="260"/>
        </w:trPr>
        <w:tc>
          <w:tcPr>
            <w:tcW w:w="3145" w:type="dxa"/>
            <w:noWrap/>
            <w:hideMark/>
          </w:tcPr>
          <w:p w14:paraId="5D85516E" w14:textId="77777777" w:rsidR="000C0EBD" w:rsidRPr="00004F68" w:rsidRDefault="000C0EBD" w:rsidP="00870A30">
            <w:pPr>
              <w:contextualSpacing/>
              <w:jc w:val="both"/>
              <w:rPr>
                <w:rFonts w:ascii="Times" w:hAnsi="Times" w:cs="Times New Roman"/>
                <w:bCs/>
                <w:color w:val="000000"/>
              </w:rPr>
            </w:pPr>
            <w:r w:rsidRPr="00004F68">
              <w:rPr>
                <w:rFonts w:ascii="Times" w:hAnsi="Times" w:cs="Times New Roman"/>
                <w:bCs/>
                <w:color w:val="000000"/>
              </w:rPr>
              <w:t>Total mGy per minute of fluoroscopy time, mean (SD)</w:t>
            </w:r>
          </w:p>
        </w:tc>
        <w:tc>
          <w:tcPr>
            <w:tcW w:w="1800" w:type="dxa"/>
            <w:noWrap/>
            <w:hideMark/>
          </w:tcPr>
          <w:p w14:paraId="5E91CFD6" w14:textId="77777777" w:rsidR="000C0EBD" w:rsidRPr="00004F68" w:rsidRDefault="000C0EBD" w:rsidP="00870A30">
            <w:pPr>
              <w:contextualSpacing/>
              <w:jc w:val="both"/>
              <w:rPr>
                <w:rFonts w:ascii="Times" w:hAnsi="Times" w:cs="Times New Roman"/>
                <w:bCs/>
                <w:color w:val="000000"/>
              </w:rPr>
            </w:pPr>
            <w:r w:rsidRPr="00004F68">
              <w:rPr>
                <w:rFonts w:ascii="Times" w:hAnsi="Times" w:cs="Times New Roman"/>
                <w:bCs/>
                <w:color w:val="000000"/>
              </w:rPr>
              <w:t>73.2 (32.0)</w:t>
            </w:r>
          </w:p>
        </w:tc>
        <w:tc>
          <w:tcPr>
            <w:tcW w:w="1710" w:type="dxa"/>
            <w:noWrap/>
            <w:hideMark/>
          </w:tcPr>
          <w:p w14:paraId="1ADF2DA5" w14:textId="77777777" w:rsidR="000C0EBD" w:rsidRPr="00004F68" w:rsidRDefault="000C0EBD" w:rsidP="00870A30">
            <w:pPr>
              <w:contextualSpacing/>
              <w:jc w:val="both"/>
              <w:rPr>
                <w:rFonts w:ascii="Times" w:hAnsi="Times" w:cs="Times New Roman"/>
                <w:bCs/>
                <w:color w:val="000000"/>
              </w:rPr>
            </w:pPr>
            <w:r w:rsidRPr="00004F68">
              <w:rPr>
                <w:rFonts w:ascii="Times" w:hAnsi="Times" w:cs="Times New Roman"/>
                <w:bCs/>
                <w:color w:val="000000"/>
              </w:rPr>
              <w:t>44.0 (17.5)</w:t>
            </w:r>
          </w:p>
        </w:tc>
        <w:tc>
          <w:tcPr>
            <w:tcW w:w="1440" w:type="dxa"/>
            <w:noWrap/>
            <w:hideMark/>
          </w:tcPr>
          <w:p w14:paraId="7EE6D1CD" w14:textId="77777777" w:rsidR="000C0EBD" w:rsidRPr="00004F68" w:rsidRDefault="000C0EBD" w:rsidP="00870A30">
            <w:pPr>
              <w:contextualSpacing/>
              <w:jc w:val="both"/>
              <w:rPr>
                <w:rFonts w:ascii="Times" w:hAnsi="Times" w:cs="Times New Roman"/>
                <w:bCs/>
                <w:color w:val="000000"/>
              </w:rPr>
            </w:pPr>
            <w:r w:rsidRPr="00004F68">
              <w:rPr>
                <w:rFonts w:ascii="Times" w:hAnsi="Times" w:cs="Times New Roman"/>
                <w:bCs/>
                <w:color w:val="000000"/>
              </w:rPr>
              <w:t>0.007</w:t>
            </w:r>
          </w:p>
        </w:tc>
      </w:tr>
      <w:tr w:rsidR="000C0EBD" w:rsidRPr="00004F68" w14:paraId="7E50D926" w14:textId="77777777" w:rsidTr="005B7582">
        <w:trPr>
          <w:trHeight w:val="260"/>
        </w:trPr>
        <w:tc>
          <w:tcPr>
            <w:tcW w:w="3145" w:type="dxa"/>
            <w:noWrap/>
            <w:hideMark/>
          </w:tcPr>
          <w:p w14:paraId="7427356A" w14:textId="77777777" w:rsidR="000C0EBD" w:rsidRPr="00004F68" w:rsidRDefault="000C0EBD" w:rsidP="00870A30">
            <w:pPr>
              <w:contextualSpacing/>
              <w:jc w:val="both"/>
              <w:rPr>
                <w:rFonts w:ascii="Times" w:hAnsi="Times" w:cs="Times New Roman"/>
                <w:bCs/>
                <w:color w:val="000000"/>
              </w:rPr>
            </w:pPr>
            <w:r w:rsidRPr="00004F68">
              <w:rPr>
                <w:rFonts w:ascii="Times" w:hAnsi="Times" w:cs="Times New Roman"/>
                <w:bCs/>
                <w:color w:val="000000"/>
              </w:rPr>
              <w:t>Vessels catheterized, mean (SD)</w:t>
            </w:r>
          </w:p>
        </w:tc>
        <w:tc>
          <w:tcPr>
            <w:tcW w:w="1800" w:type="dxa"/>
            <w:noWrap/>
            <w:hideMark/>
          </w:tcPr>
          <w:p w14:paraId="1F391254" w14:textId="77777777" w:rsidR="000C0EBD" w:rsidRPr="00004F68" w:rsidRDefault="000C0EBD" w:rsidP="00870A30">
            <w:pPr>
              <w:contextualSpacing/>
              <w:jc w:val="both"/>
              <w:rPr>
                <w:rFonts w:ascii="Times" w:hAnsi="Times" w:cs="Times New Roman"/>
                <w:bCs/>
                <w:color w:val="000000"/>
              </w:rPr>
            </w:pPr>
            <w:r w:rsidRPr="00004F68">
              <w:rPr>
                <w:rFonts w:ascii="Times" w:hAnsi="Times" w:cs="Times New Roman"/>
                <w:bCs/>
                <w:color w:val="000000"/>
              </w:rPr>
              <w:t>4.8 (1.7)</w:t>
            </w:r>
          </w:p>
        </w:tc>
        <w:tc>
          <w:tcPr>
            <w:tcW w:w="1710" w:type="dxa"/>
            <w:noWrap/>
            <w:hideMark/>
          </w:tcPr>
          <w:p w14:paraId="6B80ECDD" w14:textId="77777777" w:rsidR="000C0EBD" w:rsidRPr="00004F68" w:rsidRDefault="000C0EBD" w:rsidP="00870A30">
            <w:pPr>
              <w:contextualSpacing/>
              <w:jc w:val="both"/>
              <w:rPr>
                <w:rFonts w:ascii="Times" w:hAnsi="Times" w:cs="Times New Roman"/>
                <w:bCs/>
                <w:color w:val="000000"/>
              </w:rPr>
            </w:pPr>
            <w:r w:rsidRPr="00004F68">
              <w:rPr>
                <w:rFonts w:ascii="Times" w:hAnsi="Times" w:cs="Times New Roman"/>
                <w:bCs/>
                <w:color w:val="000000"/>
              </w:rPr>
              <w:t>4.8 (1.6)</w:t>
            </w:r>
          </w:p>
        </w:tc>
        <w:tc>
          <w:tcPr>
            <w:tcW w:w="1440" w:type="dxa"/>
            <w:noWrap/>
            <w:hideMark/>
          </w:tcPr>
          <w:p w14:paraId="4C0BDE02" w14:textId="77777777" w:rsidR="000C0EBD" w:rsidRPr="00004F68" w:rsidRDefault="000C0EBD" w:rsidP="00870A30">
            <w:pPr>
              <w:contextualSpacing/>
              <w:jc w:val="both"/>
              <w:rPr>
                <w:rFonts w:ascii="Times" w:hAnsi="Times" w:cs="Times New Roman"/>
                <w:bCs/>
                <w:color w:val="000000"/>
              </w:rPr>
            </w:pPr>
            <w:r w:rsidRPr="00004F68">
              <w:rPr>
                <w:rFonts w:ascii="Times" w:hAnsi="Times" w:cs="Times New Roman"/>
                <w:bCs/>
                <w:color w:val="000000"/>
              </w:rPr>
              <w:t>0.95</w:t>
            </w:r>
          </w:p>
        </w:tc>
      </w:tr>
      <w:tr w:rsidR="000C0EBD" w:rsidRPr="00004F68" w14:paraId="77EFA5C4" w14:textId="77777777" w:rsidTr="005B7582">
        <w:trPr>
          <w:trHeight w:val="260"/>
        </w:trPr>
        <w:tc>
          <w:tcPr>
            <w:tcW w:w="3145" w:type="dxa"/>
            <w:noWrap/>
            <w:hideMark/>
          </w:tcPr>
          <w:p w14:paraId="7EA7929E" w14:textId="77777777" w:rsidR="000C0EBD" w:rsidRPr="00004F68" w:rsidRDefault="000C0EBD" w:rsidP="00870A30">
            <w:pPr>
              <w:contextualSpacing/>
              <w:jc w:val="both"/>
              <w:rPr>
                <w:rFonts w:ascii="Times" w:hAnsi="Times" w:cs="Times New Roman"/>
                <w:bCs/>
                <w:color w:val="000000"/>
              </w:rPr>
            </w:pPr>
            <w:r w:rsidRPr="00004F68">
              <w:rPr>
                <w:rFonts w:ascii="Times" w:hAnsi="Times" w:cs="Times New Roman"/>
                <w:bCs/>
                <w:color w:val="000000"/>
              </w:rPr>
              <w:t>Total mGy per vessel catheterized, mean (SD)</w:t>
            </w:r>
          </w:p>
        </w:tc>
        <w:tc>
          <w:tcPr>
            <w:tcW w:w="1800" w:type="dxa"/>
            <w:noWrap/>
            <w:hideMark/>
          </w:tcPr>
          <w:p w14:paraId="7DB0B580" w14:textId="77777777" w:rsidR="000C0EBD" w:rsidRPr="00004F68" w:rsidRDefault="000C0EBD" w:rsidP="00870A30">
            <w:pPr>
              <w:contextualSpacing/>
              <w:jc w:val="both"/>
              <w:rPr>
                <w:rFonts w:ascii="Times" w:hAnsi="Times" w:cs="Times New Roman"/>
                <w:bCs/>
                <w:color w:val="000000"/>
              </w:rPr>
            </w:pPr>
            <w:r w:rsidRPr="00004F68">
              <w:rPr>
                <w:rFonts w:ascii="Times" w:hAnsi="Times" w:cs="Times New Roman"/>
                <w:bCs/>
                <w:color w:val="000000"/>
              </w:rPr>
              <w:t>121.5 (37.3)</w:t>
            </w:r>
          </w:p>
        </w:tc>
        <w:tc>
          <w:tcPr>
            <w:tcW w:w="1710" w:type="dxa"/>
            <w:noWrap/>
            <w:hideMark/>
          </w:tcPr>
          <w:p w14:paraId="7F2FE44F" w14:textId="77777777" w:rsidR="000C0EBD" w:rsidRPr="00004F68" w:rsidRDefault="000C0EBD" w:rsidP="00870A30">
            <w:pPr>
              <w:contextualSpacing/>
              <w:jc w:val="both"/>
              <w:rPr>
                <w:rFonts w:ascii="Times" w:hAnsi="Times" w:cs="Times New Roman"/>
                <w:bCs/>
                <w:color w:val="000000"/>
              </w:rPr>
            </w:pPr>
            <w:r w:rsidRPr="00004F68">
              <w:rPr>
                <w:rFonts w:ascii="Times" w:hAnsi="Times" w:cs="Times New Roman"/>
                <w:bCs/>
                <w:color w:val="000000"/>
              </w:rPr>
              <w:t>85.4 (39.3)</w:t>
            </w:r>
          </w:p>
        </w:tc>
        <w:tc>
          <w:tcPr>
            <w:tcW w:w="1440" w:type="dxa"/>
            <w:noWrap/>
            <w:hideMark/>
          </w:tcPr>
          <w:p w14:paraId="6B56B1CB" w14:textId="77777777" w:rsidR="000C0EBD" w:rsidRPr="00004F68" w:rsidRDefault="000C0EBD" w:rsidP="00870A30">
            <w:pPr>
              <w:contextualSpacing/>
              <w:jc w:val="both"/>
              <w:rPr>
                <w:rFonts w:ascii="Times" w:hAnsi="Times" w:cs="Times New Roman"/>
                <w:bCs/>
                <w:color w:val="000000"/>
              </w:rPr>
            </w:pPr>
            <w:r w:rsidRPr="00004F68">
              <w:rPr>
                <w:rFonts w:ascii="Times" w:hAnsi="Times" w:cs="Times New Roman"/>
                <w:bCs/>
                <w:color w:val="000000"/>
              </w:rPr>
              <w:t>0.018</w:t>
            </w:r>
          </w:p>
        </w:tc>
      </w:tr>
      <w:tr w:rsidR="000C0EBD" w:rsidRPr="00004F68" w14:paraId="7DF6A14E" w14:textId="77777777" w:rsidTr="005B7582">
        <w:trPr>
          <w:trHeight w:val="260"/>
        </w:trPr>
        <w:tc>
          <w:tcPr>
            <w:tcW w:w="3145" w:type="dxa"/>
            <w:noWrap/>
            <w:hideMark/>
          </w:tcPr>
          <w:p w14:paraId="3FB73522" w14:textId="77777777" w:rsidR="000C0EBD" w:rsidRPr="00004F68" w:rsidRDefault="000C0EBD" w:rsidP="00870A30">
            <w:pPr>
              <w:contextualSpacing/>
              <w:jc w:val="both"/>
              <w:rPr>
                <w:rFonts w:ascii="Times" w:hAnsi="Times" w:cs="Times New Roman"/>
                <w:bCs/>
                <w:color w:val="000000"/>
              </w:rPr>
            </w:pPr>
            <w:r w:rsidRPr="00004F68">
              <w:rPr>
                <w:rFonts w:ascii="Times" w:hAnsi="Times" w:cs="Times New Roman"/>
                <w:bCs/>
                <w:color w:val="000000"/>
              </w:rPr>
              <w:t>Total exposure per run, mean (SD)</w:t>
            </w:r>
          </w:p>
        </w:tc>
        <w:tc>
          <w:tcPr>
            <w:tcW w:w="1800" w:type="dxa"/>
            <w:noWrap/>
            <w:hideMark/>
          </w:tcPr>
          <w:p w14:paraId="727E269A" w14:textId="77777777" w:rsidR="000C0EBD" w:rsidRPr="00004F68" w:rsidRDefault="000C0EBD" w:rsidP="00870A30">
            <w:pPr>
              <w:contextualSpacing/>
              <w:jc w:val="both"/>
              <w:rPr>
                <w:rFonts w:ascii="Times" w:hAnsi="Times" w:cs="Times New Roman"/>
                <w:bCs/>
                <w:color w:val="000000"/>
              </w:rPr>
            </w:pPr>
            <w:r w:rsidRPr="00004F68">
              <w:rPr>
                <w:rFonts w:ascii="Times" w:hAnsi="Times" w:cs="Times New Roman"/>
                <w:bCs/>
                <w:color w:val="000000"/>
              </w:rPr>
              <w:t>429.8 (89.5)</w:t>
            </w:r>
          </w:p>
        </w:tc>
        <w:tc>
          <w:tcPr>
            <w:tcW w:w="1710" w:type="dxa"/>
            <w:noWrap/>
            <w:hideMark/>
          </w:tcPr>
          <w:p w14:paraId="6C9BC632" w14:textId="77777777" w:rsidR="000C0EBD" w:rsidRPr="00004F68" w:rsidRDefault="000C0EBD" w:rsidP="00870A30">
            <w:pPr>
              <w:contextualSpacing/>
              <w:jc w:val="both"/>
              <w:rPr>
                <w:rFonts w:ascii="Times" w:hAnsi="Times" w:cs="Times New Roman"/>
                <w:bCs/>
                <w:color w:val="000000"/>
              </w:rPr>
            </w:pPr>
            <w:r w:rsidRPr="00004F68">
              <w:rPr>
                <w:rFonts w:ascii="Times" w:hAnsi="Times" w:cs="Times New Roman"/>
                <w:bCs/>
                <w:color w:val="000000"/>
              </w:rPr>
              <w:t>281.9 (95.3)</w:t>
            </w:r>
          </w:p>
        </w:tc>
        <w:tc>
          <w:tcPr>
            <w:tcW w:w="1440" w:type="dxa"/>
            <w:noWrap/>
            <w:hideMark/>
          </w:tcPr>
          <w:p w14:paraId="2F0F6DDE" w14:textId="77777777" w:rsidR="000C0EBD" w:rsidRPr="00004F68" w:rsidRDefault="000C0EBD" w:rsidP="00870A30">
            <w:pPr>
              <w:contextualSpacing/>
              <w:jc w:val="both"/>
              <w:rPr>
                <w:rFonts w:ascii="Times" w:hAnsi="Times" w:cs="Times New Roman"/>
                <w:bCs/>
                <w:color w:val="000000"/>
              </w:rPr>
            </w:pPr>
            <w:r w:rsidRPr="00004F68">
              <w:rPr>
                <w:rFonts w:ascii="Times" w:hAnsi="Times" w:cs="Times New Roman"/>
                <w:bCs/>
                <w:color w:val="000000"/>
              </w:rPr>
              <w:t>&lt;0.001</w:t>
            </w:r>
          </w:p>
        </w:tc>
      </w:tr>
      <w:tr w:rsidR="000C0EBD" w:rsidRPr="00004F68" w14:paraId="5C1B4DB7" w14:textId="77777777" w:rsidTr="005B7582">
        <w:trPr>
          <w:trHeight w:val="260"/>
        </w:trPr>
        <w:tc>
          <w:tcPr>
            <w:tcW w:w="3145" w:type="dxa"/>
            <w:noWrap/>
            <w:hideMark/>
          </w:tcPr>
          <w:p w14:paraId="79972E5C" w14:textId="77777777" w:rsidR="000C0EBD" w:rsidRPr="00004F68" w:rsidRDefault="000C0EBD" w:rsidP="00870A30">
            <w:pPr>
              <w:contextualSpacing/>
              <w:jc w:val="both"/>
              <w:rPr>
                <w:rFonts w:ascii="Times" w:hAnsi="Times" w:cs="Times New Roman"/>
                <w:bCs/>
                <w:color w:val="000000"/>
              </w:rPr>
            </w:pPr>
            <w:r w:rsidRPr="00004F68">
              <w:rPr>
                <w:rFonts w:ascii="Times" w:hAnsi="Times" w:cs="Times New Roman"/>
                <w:bCs/>
                <w:color w:val="000000"/>
              </w:rPr>
              <w:t>N of runs, mean (SD)</w:t>
            </w:r>
          </w:p>
        </w:tc>
        <w:tc>
          <w:tcPr>
            <w:tcW w:w="1800" w:type="dxa"/>
            <w:noWrap/>
            <w:hideMark/>
          </w:tcPr>
          <w:p w14:paraId="37DA7788" w14:textId="77777777" w:rsidR="000C0EBD" w:rsidRPr="00004F68" w:rsidRDefault="000C0EBD" w:rsidP="00870A30">
            <w:pPr>
              <w:contextualSpacing/>
              <w:jc w:val="both"/>
              <w:rPr>
                <w:rFonts w:ascii="Times" w:hAnsi="Times" w:cs="Times New Roman"/>
                <w:bCs/>
                <w:color w:val="000000"/>
              </w:rPr>
            </w:pPr>
            <w:r w:rsidRPr="00004F68">
              <w:rPr>
                <w:rFonts w:ascii="Times" w:hAnsi="Times" w:cs="Times New Roman"/>
                <w:bCs/>
                <w:color w:val="000000"/>
              </w:rPr>
              <w:t>16.1 (7.1)</w:t>
            </w:r>
          </w:p>
        </w:tc>
        <w:tc>
          <w:tcPr>
            <w:tcW w:w="1710" w:type="dxa"/>
            <w:noWrap/>
            <w:hideMark/>
          </w:tcPr>
          <w:p w14:paraId="53287CD7" w14:textId="77777777" w:rsidR="000C0EBD" w:rsidRPr="00004F68" w:rsidRDefault="000C0EBD" w:rsidP="00870A30">
            <w:pPr>
              <w:contextualSpacing/>
              <w:jc w:val="both"/>
              <w:rPr>
                <w:rFonts w:ascii="Times" w:hAnsi="Times" w:cs="Times New Roman"/>
                <w:bCs/>
                <w:color w:val="000000"/>
              </w:rPr>
            </w:pPr>
            <w:r w:rsidRPr="00004F68">
              <w:rPr>
                <w:rFonts w:ascii="Times" w:hAnsi="Times" w:cs="Times New Roman"/>
                <w:bCs/>
                <w:color w:val="000000"/>
              </w:rPr>
              <w:t>16.8 (4.3)</w:t>
            </w:r>
          </w:p>
        </w:tc>
        <w:tc>
          <w:tcPr>
            <w:tcW w:w="1440" w:type="dxa"/>
            <w:noWrap/>
            <w:hideMark/>
          </w:tcPr>
          <w:p w14:paraId="534A152D" w14:textId="77777777" w:rsidR="000C0EBD" w:rsidRPr="00004F68" w:rsidRDefault="000C0EBD" w:rsidP="00870A30">
            <w:pPr>
              <w:contextualSpacing/>
              <w:jc w:val="both"/>
              <w:rPr>
                <w:rFonts w:ascii="Times" w:hAnsi="Times" w:cs="Times New Roman"/>
                <w:bCs/>
                <w:color w:val="000000"/>
              </w:rPr>
            </w:pPr>
            <w:r w:rsidRPr="00004F68">
              <w:rPr>
                <w:rFonts w:ascii="Times" w:hAnsi="Times" w:cs="Times New Roman"/>
                <w:bCs/>
                <w:color w:val="000000"/>
              </w:rPr>
              <w:t>0.78</w:t>
            </w:r>
          </w:p>
        </w:tc>
      </w:tr>
      <w:tr w:rsidR="000C0EBD" w:rsidRPr="00004F68" w14:paraId="2CA2C2CF" w14:textId="77777777" w:rsidTr="005B7582">
        <w:trPr>
          <w:trHeight w:val="260"/>
        </w:trPr>
        <w:tc>
          <w:tcPr>
            <w:tcW w:w="3145" w:type="dxa"/>
            <w:noWrap/>
            <w:hideMark/>
          </w:tcPr>
          <w:p w14:paraId="1E8154AD" w14:textId="77777777" w:rsidR="000C0EBD" w:rsidRPr="00004F68" w:rsidRDefault="000C0EBD" w:rsidP="00870A30">
            <w:pPr>
              <w:contextualSpacing/>
              <w:jc w:val="both"/>
              <w:rPr>
                <w:rFonts w:ascii="Times" w:hAnsi="Times" w:cs="Times New Roman"/>
                <w:bCs/>
                <w:color w:val="000000"/>
              </w:rPr>
            </w:pPr>
            <w:r w:rsidRPr="00004F68">
              <w:rPr>
                <w:rFonts w:ascii="Times" w:hAnsi="Times" w:cs="Times New Roman"/>
                <w:bCs/>
                <w:color w:val="000000"/>
              </w:rPr>
              <w:t>Total mGy per run, mean (SD)</w:t>
            </w:r>
          </w:p>
        </w:tc>
        <w:tc>
          <w:tcPr>
            <w:tcW w:w="1800" w:type="dxa"/>
            <w:noWrap/>
            <w:hideMark/>
          </w:tcPr>
          <w:p w14:paraId="629A399A" w14:textId="77777777" w:rsidR="000C0EBD" w:rsidRPr="00004F68" w:rsidRDefault="000C0EBD" w:rsidP="00870A30">
            <w:pPr>
              <w:contextualSpacing/>
              <w:jc w:val="both"/>
              <w:rPr>
                <w:rFonts w:ascii="Times" w:hAnsi="Times" w:cs="Times New Roman"/>
                <w:bCs/>
                <w:color w:val="000000"/>
              </w:rPr>
            </w:pPr>
            <w:r w:rsidRPr="00004F68">
              <w:rPr>
                <w:rFonts w:ascii="Times" w:hAnsi="Times" w:cs="Times New Roman"/>
                <w:bCs/>
                <w:color w:val="000000"/>
              </w:rPr>
              <w:t>34.6 (5.5)</w:t>
            </w:r>
          </w:p>
        </w:tc>
        <w:tc>
          <w:tcPr>
            <w:tcW w:w="1710" w:type="dxa"/>
            <w:noWrap/>
            <w:hideMark/>
          </w:tcPr>
          <w:p w14:paraId="51A0B118" w14:textId="77777777" w:rsidR="000C0EBD" w:rsidRPr="00004F68" w:rsidRDefault="000C0EBD" w:rsidP="00870A30">
            <w:pPr>
              <w:contextualSpacing/>
              <w:jc w:val="both"/>
              <w:rPr>
                <w:rFonts w:ascii="Times" w:hAnsi="Times" w:cs="Times New Roman"/>
                <w:bCs/>
                <w:color w:val="000000"/>
              </w:rPr>
            </w:pPr>
            <w:r w:rsidRPr="00004F68">
              <w:rPr>
                <w:rFonts w:ascii="Times" w:hAnsi="Times" w:cs="Times New Roman"/>
                <w:bCs/>
                <w:color w:val="000000"/>
              </w:rPr>
              <w:t>21.9 (6.1)</w:t>
            </w:r>
          </w:p>
        </w:tc>
        <w:tc>
          <w:tcPr>
            <w:tcW w:w="1440" w:type="dxa"/>
            <w:noWrap/>
            <w:hideMark/>
          </w:tcPr>
          <w:p w14:paraId="1CB6D1FE" w14:textId="77777777" w:rsidR="000C0EBD" w:rsidRPr="00004F68" w:rsidRDefault="000C0EBD" w:rsidP="00870A30">
            <w:pPr>
              <w:contextualSpacing/>
              <w:jc w:val="both"/>
              <w:rPr>
                <w:rFonts w:ascii="Times" w:hAnsi="Times" w:cs="Times New Roman"/>
                <w:bCs/>
                <w:color w:val="000000"/>
              </w:rPr>
            </w:pPr>
            <w:r w:rsidRPr="00004F68">
              <w:rPr>
                <w:rFonts w:ascii="Times" w:hAnsi="Times" w:cs="Times New Roman"/>
                <w:bCs/>
                <w:color w:val="000000"/>
              </w:rPr>
              <w:t>&lt;0.001</w:t>
            </w:r>
          </w:p>
        </w:tc>
      </w:tr>
    </w:tbl>
    <w:p w14:paraId="7C31EA42" w14:textId="21F4DCE4" w:rsidR="000C0EBD" w:rsidRPr="00004F68" w:rsidRDefault="000C0EBD" w:rsidP="00004F68">
      <w:pPr>
        <w:spacing w:before="120"/>
        <w:rPr>
          <w:rFonts w:ascii="Times" w:hAnsi="Times"/>
          <w:lang w:val="en"/>
        </w:rPr>
      </w:pPr>
    </w:p>
    <w:p w14:paraId="49CAD47E" w14:textId="77777777" w:rsidR="000C0EBD" w:rsidRPr="00004F68" w:rsidRDefault="000C0EBD" w:rsidP="00004F68">
      <w:pPr>
        <w:spacing w:before="120"/>
        <w:rPr>
          <w:rFonts w:ascii="Times" w:hAnsi="Times"/>
        </w:rPr>
      </w:pPr>
    </w:p>
    <w:p w14:paraId="7C574BEC" w14:textId="3C089B37" w:rsidR="00CA454E" w:rsidRPr="00004F68" w:rsidRDefault="00CA454E" w:rsidP="00004F68">
      <w:pPr>
        <w:spacing w:before="120"/>
        <w:rPr>
          <w:rFonts w:ascii="Times" w:hAnsi="Times"/>
        </w:rPr>
      </w:pPr>
    </w:p>
    <w:p w14:paraId="333171D4" w14:textId="095547CB" w:rsidR="00CA454E" w:rsidRPr="00870A30" w:rsidRDefault="00CA454E" w:rsidP="00870A30">
      <w:pPr>
        <w:spacing w:before="120"/>
        <w:rPr>
          <w:rFonts w:ascii="Times" w:hAnsi="Times"/>
        </w:rPr>
      </w:pPr>
      <w:r w:rsidRPr="00004F68">
        <w:rPr>
          <w:rFonts w:ascii="Times" w:hAnsi="Times" w:cs="Times New Roman"/>
          <w:b/>
          <w:color w:val="000000"/>
          <w:lang w:val="en"/>
        </w:rPr>
        <w:t xml:space="preserve">Table </w:t>
      </w:r>
      <w:r w:rsidR="003B1F88" w:rsidRPr="00004F68">
        <w:rPr>
          <w:rFonts w:ascii="Times" w:hAnsi="Times" w:cs="Times New Roman"/>
          <w:b/>
          <w:color w:val="000000"/>
          <w:lang w:val="en"/>
        </w:rPr>
        <w:t>2</w:t>
      </w:r>
      <w:r w:rsidRPr="00004F68">
        <w:rPr>
          <w:rFonts w:ascii="Times" w:hAnsi="Times" w:cs="Times New Roman"/>
          <w:b/>
          <w:color w:val="000000"/>
          <w:lang w:val="en"/>
        </w:rPr>
        <w:t>.</w:t>
      </w:r>
      <w:r w:rsidR="000C0EBD" w:rsidRPr="00004F68">
        <w:rPr>
          <w:rFonts w:ascii="Times" w:hAnsi="Times"/>
        </w:rPr>
        <w:t xml:space="preserve"> Clinical characteristics</w:t>
      </w:r>
      <w:r w:rsidR="00D20815" w:rsidRPr="00004F68">
        <w:rPr>
          <w:rFonts w:ascii="Times" w:hAnsi="Times"/>
        </w:rPr>
        <w:t xml:space="preserve"> </w:t>
      </w:r>
      <w:r w:rsidR="000C0EBD" w:rsidRPr="00004F68">
        <w:rPr>
          <w:rFonts w:ascii="Times" w:hAnsi="Times"/>
        </w:rPr>
        <w:t>of the MMAE group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45"/>
        <w:gridCol w:w="1800"/>
        <w:gridCol w:w="1710"/>
        <w:gridCol w:w="1440"/>
      </w:tblGrid>
      <w:tr w:rsidR="00CA454E" w:rsidRPr="00004F68" w14:paraId="18AA93DD" w14:textId="77777777" w:rsidTr="005B7582">
        <w:trPr>
          <w:trHeight w:val="260"/>
        </w:trPr>
        <w:tc>
          <w:tcPr>
            <w:tcW w:w="3145" w:type="dxa"/>
            <w:noWrap/>
            <w:hideMark/>
          </w:tcPr>
          <w:p w14:paraId="0AE897A1" w14:textId="77777777" w:rsidR="00CA454E" w:rsidRPr="00004F68" w:rsidRDefault="00CA454E" w:rsidP="00004F68">
            <w:pPr>
              <w:spacing w:before="120"/>
              <w:contextualSpacing/>
              <w:rPr>
                <w:rFonts w:ascii="Times" w:hAnsi="Times" w:cs="Times New Roman"/>
                <w:b/>
                <w:color w:val="000000"/>
              </w:rPr>
            </w:pPr>
            <w:r w:rsidRPr="00004F68">
              <w:rPr>
                <w:rFonts w:ascii="Times" w:hAnsi="Times" w:cs="Times New Roman"/>
                <w:b/>
                <w:color w:val="000000"/>
              </w:rPr>
              <w:t>Factor</w:t>
            </w:r>
          </w:p>
        </w:tc>
        <w:tc>
          <w:tcPr>
            <w:tcW w:w="1800" w:type="dxa"/>
            <w:noWrap/>
            <w:hideMark/>
          </w:tcPr>
          <w:p w14:paraId="180DA527" w14:textId="77777777" w:rsidR="00CA454E" w:rsidRPr="00004F68" w:rsidRDefault="00CA454E" w:rsidP="00004F68">
            <w:pPr>
              <w:spacing w:before="120"/>
              <w:contextualSpacing/>
              <w:rPr>
                <w:rFonts w:ascii="Times" w:hAnsi="Times" w:cs="Times New Roman"/>
                <w:b/>
                <w:color w:val="000000"/>
              </w:rPr>
            </w:pPr>
            <w:r w:rsidRPr="00004F68">
              <w:rPr>
                <w:rFonts w:ascii="Times" w:hAnsi="Times" w:cs="Times New Roman"/>
                <w:b/>
                <w:color w:val="000000"/>
              </w:rPr>
              <w:t>Before</w:t>
            </w:r>
          </w:p>
        </w:tc>
        <w:tc>
          <w:tcPr>
            <w:tcW w:w="1710" w:type="dxa"/>
            <w:noWrap/>
            <w:hideMark/>
          </w:tcPr>
          <w:p w14:paraId="5E857C58" w14:textId="77777777" w:rsidR="00CA454E" w:rsidRPr="00004F68" w:rsidRDefault="00CA454E" w:rsidP="00004F68">
            <w:pPr>
              <w:spacing w:before="120"/>
              <w:contextualSpacing/>
              <w:rPr>
                <w:rFonts w:ascii="Times" w:hAnsi="Times" w:cs="Times New Roman"/>
                <w:b/>
                <w:color w:val="000000"/>
              </w:rPr>
            </w:pPr>
            <w:r w:rsidRPr="00004F68">
              <w:rPr>
                <w:rFonts w:ascii="Times" w:hAnsi="Times" w:cs="Times New Roman"/>
                <w:b/>
                <w:color w:val="000000"/>
              </w:rPr>
              <w:t>After</w:t>
            </w:r>
          </w:p>
        </w:tc>
        <w:tc>
          <w:tcPr>
            <w:tcW w:w="1440" w:type="dxa"/>
            <w:noWrap/>
            <w:hideMark/>
          </w:tcPr>
          <w:p w14:paraId="42001821" w14:textId="77777777" w:rsidR="00CA454E" w:rsidRPr="00004F68" w:rsidRDefault="00CA454E" w:rsidP="00004F68">
            <w:pPr>
              <w:spacing w:before="120"/>
              <w:contextualSpacing/>
              <w:rPr>
                <w:rFonts w:ascii="Times" w:hAnsi="Times" w:cs="Times New Roman"/>
                <w:b/>
                <w:color w:val="000000"/>
              </w:rPr>
            </w:pPr>
            <w:r w:rsidRPr="00004F68">
              <w:rPr>
                <w:rFonts w:ascii="Times" w:hAnsi="Times" w:cs="Times New Roman"/>
                <w:b/>
                <w:color w:val="000000"/>
              </w:rPr>
              <w:t>p-value</w:t>
            </w:r>
          </w:p>
        </w:tc>
      </w:tr>
      <w:tr w:rsidR="00CA454E" w:rsidRPr="00004F68" w14:paraId="5F9B9E3F" w14:textId="77777777" w:rsidTr="005B7582">
        <w:trPr>
          <w:trHeight w:val="260"/>
        </w:trPr>
        <w:tc>
          <w:tcPr>
            <w:tcW w:w="3145" w:type="dxa"/>
            <w:noWrap/>
            <w:hideMark/>
          </w:tcPr>
          <w:p w14:paraId="62F75203" w14:textId="77777777" w:rsidR="00CA454E" w:rsidRPr="00004F68" w:rsidRDefault="00CA454E" w:rsidP="00004F68">
            <w:pPr>
              <w:spacing w:before="120"/>
              <w:contextualSpacing/>
              <w:rPr>
                <w:rFonts w:ascii="Times" w:hAnsi="Times" w:cs="Times New Roman"/>
                <w:bCs/>
                <w:color w:val="000000"/>
              </w:rPr>
            </w:pPr>
            <w:r w:rsidRPr="00004F68">
              <w:rPr>
                <w:rFonts w:ascii="Times" w:hAnsi="Times" w:cs="Times New Roman"/>
                <w:bCs/>
                <w:color w:val="000000"/>
              </w:rPr>
              <w:t>N</w:t>
            </w:r>
          </w:p>
        </w:tc>
        <w:tc>
          <w:tcPr>
            <w:tcW w:w="1800" w:type="dxa"/>
            <w:noWrap/>
            <w:vAlign w:val="bottom"/>
            <w:hideMark/>
          </w:tcPr>
          <w:p w14:paraId="451216EE" w14:textId="77777777" w:rsidR="00CA454E" w:rsidRPr="00004F68" w:rsidRDefault="00CA454E" w:rsidP="00004F68">
            <w:pPr>
              <w:spacing w:before="120"/>
              <w:contextualSpacing/>
              <w:rPr>
                <w:rFonts w:ascii="Times" w:hAnsi="Times" w:cs="Times New Roman"/>
                <w:bCs/>
                <w:color w:val="000000"/>
              </w:rPr>
            </w:pPr>
            <w:r w:rsidRPr="00004F68">
              <w:rPr>
                <w:rFonts w:ascii="Times" w:hAnsi="Times" w:cs="Times New Roman"/>
              </w:rPr>
              <w:t>8</w:t>
            </w:r>
          </w:p>
        </w:tc>
        <w:tc>
          <w:tcPr>
            <w:tcW w:w="1710" w:type="dxa"/>
            <w:noWrap/>
            <w:vAlign w:val="bottom"/>
            <w:hideMark/>
          </w:tcPr>
          <w:p w14:paraId="62067A22" w14:textId="77777777" w:rsidR="00CA454E" w:rsidRPr="00004F68" w:rsidRDefault="00CA454E" w:rsidP="00004F68">
            <w:pPr>
              <w:spacing w:before="120"/>
              <w:contextualSpacing/>
              <w:rPr>
                <w:rFonts w:ascii="Times" w:hAnsi="Times" w:cs="Times New Roman"/>
                <w:bCs/>
                <w:color w:val="000000"/>
              </w:rPr>
            </w:pPr>
            <w:r w:rsidRPr="00004F68">
              <w:rPr>
                <w:rFonts w:ascii="Times" w:hAnsi="Times" w:cs="Times New Roman"/>
              </w:rPr>
              <w:t>8</w:t>
            </w:r>
          </w:p>
        </w:tc>
        <w:tc>
          <w:tcPr>
            <w:tcW w:w="1440" w:type="dxa"/>
            <w:noWrap/>
            <w:vAlign w:val="bottom"/>
            <w:hideMark/>
          </w:tcPr>
          <w:p w14:paraId="2D8843BE" w14:textId="77777777" w:rsidR="00CA454E" w:rsidRPr="00004F68" w:rsidRDefault="00CA454E" w:rsidP="00004F68">
            <w:pPr>
              <w:spacing w:before="120"/>
              <w:contextualSpacing/>
              <w:rPr>
                <w:rFonts w:ascii="Times" w:hAnsi="Times" w:cs="Times New Roman"/>
                <w:bCs/>
                <w:color w:val="000000"/>
              </w:rPr>
            </w:pPr>
          </w:p>
        </w:tc>
      </w:tr>
      <w:tr w:rsidR="00CA454E" w:rsidRPr="00004F68" w14:paraId="490ED3E3" w14:textId="77777777" w:rsidTr="005B7582">
        <w:trPr>
          <w:trHeight w:val="260"/>
        </w:trPr>
        <w:tc>
          <w:tcPr>
            <w:tcW w:w="3145" w:type="dxa"/>
            <w:noWrap/>
            <w:hideMark/>
          </w:tcPr>
          <w:p w14:paraId="7012C900" w14:textId="77777777" w:rsidR="00CA454E" w:rsidRPr="00004F68" w:rsidRDefault="00CA454E" w:rsidP="00004F68">
            <w:pPr>
              <w:spacing w:before="120"/>
              <w:contextualSpacing/>
              <w:rPr>
                <w:rFonts w:ascii="Times" w:hAnsi="Times" w:cs="Times New Roman"/>
                <w:bCs/>
                <w:color w:val="000000"/>
              </w:rPr>
            </w:pPr>
            <w:r w:rsidRPr="00004F68">
              <w:rPr>
                <w:rFonts w:ascii="Times" w:hAnsi="Times" w:cs="Times New Roman"/>
                <w:bCs/>
                <w:color w:val="000000"/>
              </w:rPr>
              <w:t>BMI, mean (SD)</w:t>
            </w:r>
          </w:p>
        </w:tc>
        <w:tc>
          <w:tcPr>
            <w:tcW w:w="1800" w:type="dxa"/>
            <w:noWrap/>
            <w:vAlign w:val="bottom"/>
            <w:hideMark/>
          </w:tcPr>
          <w:p w14:paraId="1BB5F758" w14:textId="77777777" w:rsidR="00CA454E" w:rsidRPr="00004F68" w:rsidRDefault="00CA454E" w:rsidP="00004F68">
            <w:pPr>
              <w:spacing w:before="120"/>
              <w:contextualSpacing/>
              <w:rPr>
                <w:rFonts w:ascii="Times" w:hAnsi="Times" w:cs="Times New Roman"/>
                <w:bCs/>
                <w:color w:val="000000"/>
              </w:rPr>
            </w:pPr>
            <w:r w:rsidRPr="00004F68">
              <w:rPr>
                <w:rFonts w:ascii="Times" w:hAnsi="Times" w:cs="Times New Roman"/>
              </w:rPr>
              <w:t>27.9 (4.0)</w:t>
            </w:r>
          </w:p>
        </w:tc>
        <w:tc>
          <w:tcPr>
            <w:tcW w:w="1710" w:type="dxa"/>
            <w:noWrap/>
            <w:vAlign w:val="bottom"/>
            <w:hideMark/>
          </w:tcPr>
          <w:p w14:paraId="2EDEA5A4" w14:textId="77777777" w:rsidR="00CA454E" w:rsidRPr="00004F68" w:rsidRDefault="00CA454E" w:rsidP="00004F68">
            <w:pPr>
              <w:spacing w:before="120"/>
              <w:contextualSpacing/>
              <w:rPr>
                <w:rFonts w:ascii="Times" w:hAnsi="Times" w:cs="Times New Roman"/>
                <w:bCs/>
                <w:color w:val="000000"/>
              </w:rPr>
            </w:pPr>
            <w:r w:rsidRPr="00004F68">
              <w:rPr>
                <w:rFonts w:ascii="Times" w:hAnsi="Times" w:cs="Times New Roman"/>
              </w:rPr>
              <w:t>22.5 (6.2)</w:t>
            </w:r>
          </w:p>
        </w:tc>
        <w:tc>
          <w:tcPr>
            <w:tcW w:w="1440" w:type="dxa"/>
            <w:noWrap/>
            <w:vAlign w:val="bottom"/>
            <w:hideMark/>
          </w:tcPr>
          <w:p w14:paraId="2E8540AC" w14:textId="77777777" w:rsidR="00CA454E" w:rsidRPr="00004F68" w:rsidRDefault="00CA454E" w:rsidP="00004F68">
            <w:pPr>
              <w:spacing w:before="120"/>
              <w:contextualSpacing/>
              <w:rPr>
                <w:rFonts w:ascii="Times" w:hAnsi="Times" w:cs="Times New Roman"/>
                <w:bCs/>
                <w:color w:val="000000"/>
              </w:rPr>
            </w:pPr>
            <w:r w:rsidRPr="00004F68">
              <w:rPr>
                <w:rFonts w:ascii="Times" w:hAnsi="Times" w:cs="Times New Roman"/>
              </w:rPr>
              <w:t>0.058</w:t>
            </w:r>
          </w:p>
        </w:tc>
      </w:tr>
      <w:tr w:rsidR="00CA454E" w:rsidRPr="00004F68" w14:paraId="05F93361" w14:textId="77777777" w:rsidTr="005B7582">
        <w:trPr>
          <w:trHeight w:val="260"/>
        </w:trPr>
        <w:tc>
          <w:tcPr>
            <w:tcW w:w="3145" w:type="dxa"/>
            <w:noWrap/>
            <w:hideMark/>
          </w:tcPr>
          <w:p w14:paraId="58E3774B" w14:textId="77777777" w:rsidR="00CA454E" w:rsidRPr="00A1611C" w:rsidRDefault="00CA454E" w:rsidP="00004F68">
            <w:pPr>
              <w:spacing w:before="120"/>
              <w:contextualSpacing/>
              <w:rPr>
                <w:rFonts w:ascii="Times" w:hAnsi="Times" w:cs="Times New Roman"/>
                <w:bCs/>
                <w:color w:val="FF0000"/>
              </w:rPr>
            </w:pPr>
            <w:r w:rsidRPr="00A1611C">
              <w:rPr>
                <w:rFonts w:ascii="Times" w:hAnsi="Times" w:cs="Times New Roman"/>
                <w:bCs/>
                <w:color w:val="FF0000"/>
              </w:rPr>
              <w:t>Total mGy, mean (SD)</w:t>
            </w:r>
          </w:p>
        </w:tc>
        <w:tc>
          <w:tcPr>
            <w:tcW w:w="1800" w:type="dxa"/>
            <w:noWrap/>
            <w:vAlign w:val="bottom"/>
            <w:hideMark/>
          </w:tcPr>
          <w:p w14:paraId="29644B32" w14:textId="77777777" w:rsidR="00CA454E" w:rsidRPr="00A1611C" w:rsidRDefault="00CA454E" w:rsidP="00004F68">
            <w:pPr>
              <w:spacing w:before="120"/>
              <w:contextualSpacing/>
              <w:rPr>
                <w:rFonts w:ascii="Times" w:hAnsi="Times" w:cs="Times New Roman"/>
                <w:bCs/>
                <w:color w:val="FF0000"/>
              </w:rPr>
            </w:pPr>
            <w:r w:rsidRPr="00A1611C">
              <w:rPr>
                <w:rFonts w:ascii="Times" w:hAnsi="Times" w:cs="Times New Roman"/>
                <w:color w:val="FF0000"/>
              </w:rPr>
              <w:t>660.9 (104.8)</w:t>
            </w:r>
          </w:p>
        </w:tc>
        <w:tc>
          <w:tcPr>
            <w:tcW w:w="1710" w:type="dxa"/>
            <w:noWrap/>
            <w:vAlign w:val="bottom"/>
            <w:hideMark/>
          </w:tcPr>
          <w:p w14:paraId="07A57391" w14:textId="77777777" w:rsidR="00CA454E" w:rsidRPr="00A1611C" w:rsidRDefault="00CA454E" w:rsidP="00004F68">
            <w:pPr>
              <w:spacing w:before="120"/>
              <w:contextualSpacing/>
              <w:rPr>
                <w:rFonts w:ascii="Times" w:hAnsi="Times" w:cs="Times New Roman"/>
                <w:bCs/>
                <w:color w:val="FF0000"/>
              </w:rPr>
            </w:pPr>
            <w:r w:rsidRPr="00A1611C">
              <w:rPr>
                <w:rFonts w:ascii="Times" w:hAnsi="Times" w:cs="Times New Roman"/>
                <w:color w:val="FF0000"/>
              </w:rPr>
              <w:t>407.5 (159.2)</w:t>
            </w:r>
          </w:p>
        </w:tc>
        <w:tc>
          <w:tcPr>
            <w:tcW w:w="1440" w:type="dxa"/>
            <w:noWrap/>
            <w:vAlign w:val="bottom"/>
            <w:hideMark/>
          </w:tcPr>
          <w:p w14:paraId="714F3034" w14:textId="77777777" w:rsidR="00CA454E" w:rsidRPr="00A1611C" w:rsidRDefault="00CA454E" w:rsidP="00004F68">
            <w:pPr>
              <w:spacing w:before="120"/>
              <w:contextualSpacing/>
              <w:rPr>
                <w:rFonts w:ascii="Times" w:hAnsi="Times" w:cs="Times New Roman"/>
                <w:bCs/>
                <w:color w:val="FF0000"/>
              </w:rPr>
            </w:pPr>
            <w:r w:rsidRPr="00A1611C">
              <w:rPr>
                <w:rFonts w:ascii="Times" w:hAnsi="Times" w:cs="Times New Roman"/>
                <w:color w:val="FF0000"/>
              </w:rPr>
              <w:t>0.002</w:t>
            </w:r>
          </w:p>
        </w:tc>
      </w:tr>
      <w:tr w:rsidR="00CA454E" w:rsidRPr="00004F68" w14:paraId="0DA85EDD" w14:textId="77777777" w:rsidTr="005B7582">
        <w:trPr>
          <w:trHeight w:val="260"/>
        </w:trPr>
        <w:tc>
          <w:tcPr>
            <w:tcW w:w="3145" w:type="dxa"/>
            <w:noWrap/>
            <w:hideMark/>
          </w:tcPr>
          <w:p w14:paraId="4434C6B6" w14:textId="77777777" w:rsidR="00CA454E" w:rsidRPr="00004F68" w:rsidRDefault="00CA454E" w:rsidP="00004F68">
            <w:pPr>
              <w:spacing w:before="120"/>
              <w:contextualSpacing/>
              <w:rPr>
                <w:rFonts w:ascii="Times" w:hAnsi="Times" w:cs="Times New Roman"/>
                <w:bCs/>
                <w:color w:val="000000"/>
              </w:rPr>
            </w:pPr>
            <w:r w:rsidRPr="00004F68">
              <w:rPr>
                <w:rFonts w:ascii="Times" w:hAnsi="Times" w:cs="Times New Roman"/>
                <w:bCs/>
                <w:color w:val="000000"/>
              </w:rPr>
              <w:t>Total Exposure, mean (SD)</w:t>
            </w:r>
          </w:p>
        </w:tc>
        <w:tc>
          <w:tcPr>
            <w:tcW w:w="1800" w:type="dxa"/>
            <w:noWrap/>
            <w:vAlign w:val="bottom"/>
            <w:hideMark/>
          </w:tcPr>
          <w:p w14:paraId="37B80FFB" w14:textId="77777777" w:rsidR="00CA454E" w:rsidRPr="00004F68" w:rsidRDefault="00CA454E" w:rsidP="00004F68">
            <w:pPr>
              <w:spacing w:before="120"/>
              <w:contextualSpacing/>
              <w:rPr>
                <w:rFonts w:ascii="Times" w:hAnsi="Times" w:cs="Times New Roman"/>
                <w:bCs/>
                <w:color w:val="000000"/>
              </w:rPr>
            </w:pPr>
            <w:r w:rsidRPr="00004F68">
              <w:rPr>
                <w:rFonts w:ascii="Times" w:hAnsi="Times" w:cs="Times New Roman"/>
              </w:rPr>
              <w:t>8825.8 (1763.4)</w:t>
            </w:r>
          </w:p>
        </w:tc>
        <w:tc>
          <w:tcPr>
            <w:tcW w:w="1710" w:type="dxa"/>
            <w:noWrap/>
            <w:vAlign w:val="bottom"/>
            <w:hideMark/>
          </w:tcPr>
          <w:p w14:paraId="2B49DE2F" w14:textId="77777777" w:rsidR="00CA454E" w:rsidRPr="00004F68" w:rsidRDefault="00CA454E" w:rsidP="00004F68">
            <w:pPr>
              <w:spacing w:before="120"/>
              <w:contextualSpacing/>
              <w:rPr>
                <w:rFonts w:ascii="Times" w:hAnsi="Times" w:cs="Times New Roman"/>
                <w:bCs/>
                <w:color w:val="000000"/>
              </w:rPr>
            </w:pPr>
            <w:r w:rsidRPr="00004F68">
              <w:rPr>
                <w:rFonts w:ascii="Times" w:hAnsi="Times" w:cs="Times New Roman"/>
              </w:rPr>
              <w:t>5510.4 (1816.3)</w:t>
            </w:r>
          </w:p>
        </w:tc>
        <w:tc>
          <w:tcPr>
            <w:tcW w:w="1440" w:type="dxa"/>
            <w:noWrap/>
            <w:vAlign w:val="bottom"/>
            <w:hideMark/>
          </w:tcPr>
          <w:p w14:paraId="4BDD8E49" w14:textId="77777777" w:rsidR="00CA454E" w:rsidRPr="00004F68" w:rsidRDefault="00CA454E" w:rsidP="00004F68">
            <w:pPr>
              <w:spacing w:before="120"/>
              <w:contextualSpacing/>
              <w:rPr>
                <w:rFonts w:ascii="Times" w:hAnsi="Times" w:cs="Times New Roman"/>
                <w:bCs/>
                <w:color w:val="000000"/>
              </w:rPr>
            </w:pPr>
            <w:r w:rsidRPr="00004F68">
              <w:rPr>
                <w:rFonts w:ascii="Times" w:hAnsi="Times" w:cs="Times New Roman"/>
              </w:rPr>
              <w:t>0.002</w:t>
            </w:r>
          </w:p>
        </w:tc>
      </w:tr>
      <w:tr w:rsidR="00CA454E" w:rsidRPr="00004F68" w14:paraId="5B8B800C" w14:textId="77777777" w:rsidTr="005B7582">
        <w:trPr>
          <w:trHeight w:val="260"/>
        </w:trPr>
        <w:tc>
          <w:tcPr>
            <w:tcW w:w="3145" w:type="dxa"/>
            <w:noWrap/>
            <w:hideMark/>
          </w:tcPr>
          <w:p w14:paraId="0F4BFDAF" w14:textId="77777777" w:rsidR="00CA454E" w:rsidRPr="00A1611C" w:rsidRDefault="00CA454E" w:rsidP="00004F68">
            <w:pPr>
              <w:spacing w:before="120"/>
              <w:contextualSpacing/>
              <w:rPr>
                <w:rFonts w:ascii="Times" w:hAnsi="Times" w:cs="Times New Roman"/>
                <w:bCs/>
                <w:color w:val="FF0000"/>
              </w:rPr>
            </w:pPr>
            <w:r w:rsidRPr="00A1611C">
              <w:rPr>
                <w:rFonts w:ascii="Times" w:hAnsi="Times" w:cs="Times New Roman"/>
                <w:bCs/>
                <w:color w:val="FF0000"/>
              </w:rPr>
              <w:t>Fluoroscopy time (minutes), mean (SD)</w:t>
            </w:r>
          </w:p>
        </w:tc>
        <w:tc>
          <w:tcPr>
            <w:tcW w:w="1800" w:type="dxa"/>
            <w:noWrap/>
            <w:vAlign w:val="bottom"/>
            <w:hideMark/>
          </w:tcPr>
          <w:p w14:paraId="714FDB4B" w14:textId="77777777" w:rsidR="00CA454E" w:rsidRPr="00A1611C" w:rsidRDefault="00CA454E" w:rsidP="00004F68">
            <w:pPr>
              <w:spacing w:before="120"/>
              <w:contextualSpacing/>
              <w:rPr>
                <w:rFonts w:ascii="Times" w:hAnsi="Times" w:cs="Times New Roman"/>
                <w:bCs/>
                <w:color w:val="FF0000"/>
              </w:rPr>
            </w:pPr>
            <w:r w:rsidRPr="00A1611C">
              <w:rPr>
                <w:rFonts w:ascii="Times" w:hAnsi="Times" w:cs="Times New Roman"/>
                <w:color w:val="FF0000"/>
              </w:rPr>
              <w:t>20.0 (8.9)</w:t>
            </w:r>
          </w:p>
        </w:tc>
        <w:tc>
          <w:tcPr>
            <w:tcW w:w="1710" w:type="dxa"/>
            <w:noWrap/>
            <w:vAlign w:val="bottom"/>
            <w:hideMark/>
          </w:tcPr>
          <w:p w14:paraId="1F9CB958" w14:textId="77777777" w:rsidR="00CA454E" w:rsidRPr="00A1611C" w:rsidRDefault="00CA454E" w:rsidP="00004F68">
            <w:pPr>
              <w:spacing w:before="120"/>
              <w:contextualSpacing/>
              <w:rPr>
                <w:rFonts w:ascii="Times" w:hAnsi="Times" w:cs="Times New Roman"/>
                <w:bCs/>
                <w:color w:val="FF0000"/>
              </w:rPr>
            </w:pPr>
            <w:r w:rsidRPr="00A1611C">
              <w:rPr>
                <w:rFonts w:ascii="Times" w:hAnsi="Times" w:cs="Times New Roman"/>
                <w:color w:val="FF0000"/>
              </w:rPr>
              <w:t>21.7 (5.9)</w:t>
            </w:r>
          </w:p>
        </w:tc>
        <w:tc>
          <w:tcPr>
            <w:tcW w:w="1440" w:type="dxa"/>
            <w:noWrap/>
            <w:vAlign w:val="bottom"/>
            <w:hideMark/>
          </w:tcPr>
          <w:p w14:paraId="5A7F2A6D" w14:textId="77777777" w:rsidR="00CA454E" w:rsidRPr="00A1611C" w:rsidRDefault="00CA454E" w:rsidP="00004F68">
            <w:pPr>
              <w:spacing w:before="120"/>
              <w:contextualSpacing/>
              <w:rPr>
                <w:rFonts w:ascii="Times" w:hAnsi="Times" w:cs="Times New Roman"/>
                <w:bCs/>
                <w:color w:val="FF0000"/>
              </w:rPr>
            </w:pPr>
            <w:r w:rsidRPr="00A1611C">
              <w:rPr>
                <w:rFonts w:ascii="Times" w:hAnsi="Times" w:cs="Times New Roman"/>
                <w:color w:val="FF0000"/>
              </w:rPr>
              <w:t>0.65</w:t>
            </w:r>
          </w:p>
        </w:tc>
      </w:tr>
      <w:tr w:rsidR="00CA454E" w:rsidRPr="00004F68" w14:paraId="34CA1052" w14:textId="77777777" w:rsidTr="005B7582">
        <w:trPr>
          <w:trHeight w:val="260"/>
        </w:trPr>
        <w:tc>
          <w:tcPr>
            <w:tcW w:w="3145" w:type="dxa"/>
            <w:noWrap/>
            <w:hideMark/>
          </w:tcPr>
          <w:p w14:paraId="11BC2E25" w14:textId="77777777" w:rsidR="00CA454E" w:rsidRPr="00004F68" w:rsidRDefault="00CA454E" w:rsidP="00004F68">
            <w:pPr>
              <w:spacing w:before="120"/>
              <w:contextualSpacing/>
              <w:rPr>
                <w:rFonts w:ascii="Times" w:hAnsi="Times" w:cs="Times New Roman"/>
                <w:bCs/>
                <w:color w:val="000000"/>
              </w:rPr>
            </w:pPr>
            <w:r w:rsidRPr="00004F68">
              <w:rPr>
                <w:rFonts w:ascii="Times" w:hAnsi="Times" w:cs="Times New Roman"/>
                <w:bCs/>
                <w:color w:val="000000"/>
              </w:rPr>
              <w:t>Total mGy per minute of fluoroscopy time, mean (SD)</w:t>
            </w:r>
          </w:p>
        </w:tc>
        <w:tc>
          <w:tcPr>
            <w:tcW w:w="1800" w:type="dxa"/>
            <w:noWrap/>
            <w:vAlign w:val="bottom"/>
            <w:hideMark/>
          </w:tcPr>
          <w:p w14:paraId="7B42F67D" w14:textId="77777777" w:rsidR="00CA454E" w:rsidRPr="00004F68" w:rsidRDefault="00CA454E" w:rsidP="00004F68">
            <w:pPr>
              <w:spacing w:before="120"/>
              <w:contextualSpacing/>
              <w:rPr>
                <w:rFonts w:ascii="Times" w:hAnsi="Times" w:cs="Times New Roman"/>
                <w:bCs/>
                <w:color w:val="000000"/>
              </w:rPr>
            </w:pPr>
            <w:r w:rsidRPr="00004F68">
              <w:rPr>
                <w:rFonts w:ascii="Times" w:hAnsi="Times" w:cs="Times New Roman"/>
              </w:rPr>
              <w:t>37.1 (11.6)</w:t>
            </w:r>
          </w:p>
        </w:tc>
        <w:tc>
          <w:tcPr>
            <w:tcW w:w="1710" w:type="dxa"/>
            <w:noWrap/>
            <w:vAlign w:val="bottom"/>
            <w:hideMark/>
          </w:tcPr>
          <w:p w14:paraId="52F70A54" w14:textId="77777777" w:rsidR="00CA454E" w:rsidRPr="00004F68" w:rsidRDefault="00CA454E" w:rsidP="00004F68">
            <w:pPr>
              <w:spacing w:before="120"/>
              <w:contextualSpacing/>
              <w:rPr>
                <w:rFonts w:ascii="Times" w:hAnsi="Times" w:cs="Times New Roman"/>
                <w:bCs/>
                <w:color w:val="000000"/>
              </w:rPr>
            </w:pPr>
            <w:r w:rsidRPr="00004F68">
              <w:rPr>
                <w:rFonts w:ascii="Times" w:hAnsi="Times" w:cs="Times New Roman"/>
              </w:rPr>
              <w:t>18.6 (5.7)</w:t>
            </w:r>
          </w:p>
        </w:tc>
        <w:tc>
          <w:tcPr>
            <w:tcW w:w="1440" w:type="dxa"/>
            <w:noWrap/>
            <w:vAlign w:val="bottom"/>
            <w:hideMark/>
          </w:tcPr>
          <w:p w14:paraId="6A54082A" w14:textId="77777777" w:rsidR="00CA454E" w:rsidRPr="00004F68" w:rsidRDefault="00CA454E" w:rsidP="00004F68">
            <w:pPr>
              <w:spacing w:before="120"/>
              <w:contextualSpacing/>
              <w:rPr>
                <w:rFonts w:ascii="Times" w:hAnsi="Times" w:cs="Times New Roman"/>
                <w:bCs/>
                <w:color w:val="000000"/>
              </w:rPr>
            </w:pPr>
            <w:r w:rsidRPr="00004F68">
              <w:rPr>
                <w:rFonts w:ascii="Times" w:hAnsi="Times" w:cs="Times New Roman"/>
              </w:rPr>
              <w:t>0.001</w:t>
            </w:r>
          </w:p>
        </w:tc>
      </w:tr>
      <w:tr w:rsidR="00CA454E" w:rsidRPr="00004F68" w14:paraId="0733AE21" w14:textId="77777777" w:rsidTr="005B7582">
        <w:trPr>
          <w:trHeight w:val="260"/>
        </w:trPr>
        <w:tc>
          <w:tcPr>
            <w:tcW w:w="3145" w:type="dxa"/>
            <w:noWrap/>
            <w:hideMark/>
          </w:tcPr>
          <w:p w14:paraId="46E0E431" w14:textId="77777777" w:rsidR="00CA454E" w:rsidRPr="00004F68" w:rsidRDefault="00CA454E" w:rsidP="00004F68">
            <w:pPr>
              <w:spacing w:before="120"/>
              <w:contextualSpacing/>
              <w:rPr>
                <w:rFonts w:ascii="Times" w:hAnsi="Times" w:cs="Times New Roman"/>
                <w:bCs/>
                <w:color w:val="000000"/>
              </w:rPr>
            </w:pPr>
            <w:r w:rsidRPr="00004F68">
              <w:rPr>
                <w:rFonts w:ascii="Times" w:hAnsi="Times" w:cs="Times New Roman"/>
                <w:bCs/>
                <w:color w:val="000000"/>
              </w:rPr>
              <w:t>Vessels catheterized, mean (SD)</w:t>
            </w:r>
          </w:p>
        </w:tc>
        <w:tc>
          <w:tcPr>
            <w:tcW w:w="1800" w:type="dxa"/>
            <w:noWrap/>
            <w:vAlign w:val="bottom"/>
            <w:hideMark/>
          </w:tcPr>
          <w:p w14:paraId="3C9F13CD" w14:textId="77777777" w:rsidR="00CA454E" w:rsidRPr="00004F68" w:rsidRDefault="00CA454E" w:rsidP="00004F68">
            <w:pPr>
              <w:spacing w:before="120"/>
              <w:contextualSpacing/>
              <w:rPr>
                <w:rFonts w:ascii="Times" w:hAnsi="Times" w:cs="Times New Roman"/>
                <w:bCs/>
                <w:color w:val="000000"/>
              </w:rPr>
            </w:pPr>
            <w:r w:rsidRPr="00004F68">
              <w:rPr>
                <w:rFonts w:ascii="Times" w:hAnsi="Times" w:cs="Times New Roman"/>
              </w:rPr>
              <w:t>2.0 (0.0)</w:t>
            </w:r>
          </w:p>
        </w:tc>
        <w:tc>
          <w:tcPr>
            <w:tcW w:w="1710" w:type="dxa"/>
            <w:noWrap/>
            <w:vAlign w:val="bottom"/>
            <w:hideMark/>
          </w:tcPr>
          <w:p w14:paraId="3DC77DCF" w14:textId="77777777" w:rsidR="00CA454E" w:rsidRPr="00004F68" w:rsidRDefault="00CA454E" w:rsidP="00004F68">
            <w:pPr>
              <w:spacing w:before="120"/>
              <w:contextualSpacing/>
              <w:rPr>
                <w:rFonts w:ascii="Times" w:hAnsi="Times" w:cs="Times New Roman"/>
                <w:bCs/>
                <w:color w:val="000000"/>
              </w:rPr>
            </w:pPr>
            <w:r w:rsidRPr="00004F68">
              <w:rPr>
                <w:rFonts w:ascii="Times" w:hAnsi="Times" w:cs="Times New Roman"/>
              </w:rPr>
              <w:t>2.0 (0.0)</w:t>
            </w:r>
          </w:p>
        </w:tc>
        <w:tc>
          <w:tcPr>
            <w:tcW w:w="1440" w:type="dxa"/>
            <w:noWrap/>
            <w:vAlign w:val="bottom"/>
            <w:hideMark/>
          </w:tcPr>
          <w:p w14:paraId="29323BFA" w14:textId="77777777" w:rsidR="00CA454E" w:rsidRPr="00004F68" w:rsidRDefault="00CA454E" w:rsidP="00004F68">
            <w:pPr>
              <w:spacing w:before="120"/>
              <w:contextualSpacing/>
              <w:rPr>
                <w:rFonts w:ascii="Times" w:hAnsi="Times" w:cs="Times New Roman"/>
                <w:bCs/>
                <w:color w:val="000000"/>
              </w:rPr>
            </w:pPr>
          </w:p>
        </w:tc>
      </w:tr>
      <w:tr w:rsidR="00CA454E" w:rsidRPr="00004F68" w14:paraId="0969585C" w14:textId="77777777" w:rsidTr="005B7582">
        <w:trPr>
          <w:trHeight w:val="260"/>
        </w:trPr>
        <w:tc>
          <w:tcPr>
            <w:tcW w:w="3145" w:type="dxa"/>
            <w:noWrap/>
            <w:hideMark/>
          </w:tcPr>
          <w:p w14:paraId="64ABE654" w14:textId="77777777" w:rsidR="00CA454E" w:rsidRPr="00004F68" w:rsidRDefault="00CA454E" w:rsidP="00004F68">
            <w:pPr>
              <w:spacing w:before="120"/>
              <w:contextualSpacing/>
              <w:rPr>
                <w:rFonts w:ascii="Times" w:hAnsi="Times" w:cs="Times New Roman"/>
                <w:bCs/>
                <w:color w:val="000000"/>
              </w:rPr>
            </w:pPr>
            <w:r w:rsidRPr="00004F68">
              <w:rPr>
                <w:rFonts w:ascii="Times" w:hAnsi="Times" w:cs="Times New Roman"/>
                <w:bCs/>
                <w:color w:val="000000"/>
              </w:rPr>
              <w:t>Total mGy per vessel catheterized, mean (SD)</w:t>
            </w:r>
          </w:p>
        </w:tc>
        <w:tc>
          <w:tcPr>
            <w:tcW w:w="1800" w:type="dxa"/>
            <w:noWrap/>
            <w:vAlign w:val="bottom"/>
            <w:hideMark/>
          </w:tcPr>
          <w:p w14:paraId="31B00327" w14:textId="77777777" w:rsidR="00CA454E" w:rsidRPr="00004F68" w:rsidRDefault="00CA454E" w:rsidP="00004F68">
            <w:pPr>
              <w:spacing w:before="120"/>
              <w:contextualSpacing/>
              <w:rPr>
                <w:rFonts w:ascii="Times" w:hAnsi="Times" w:cs="Times New Roman"/>
                <w:bCs/>
                <w:color w:val="000000"/>
              </w:rPr>
            </w:pPr>
            <w:r w:rsidRPr="00004F68">
              <w:rPr>
                <w:rFonts w:ascii="Times" w:hAnsi="Times" w:cs="Times New Roman"/>
              </w:rPr>
              <w:t>330.4 (52.4)</w:t>
            </w:r>
          </w:p>
        </w:tc>
        <w:tc>
          <w:tcPr>
            <w:tcW w:w="1710" w:type="dxa"/>
            <w:noWrap/>
            <w:vAlign w:val="bottom"/>
            <w:hideMark/>
          </w:tcPr>
          <w:p w14:paraId="4875B274" w14:textId="77777777" w:rsidR="00CA454E" w:rsidRPr="00004F68" w:rsidRDefault="00CA454E" w:rsidP="00004F68">
            <w:pPr>
              <w:spacing w:before="120"/>
              <w:contextualSpacing/>
              <w:rPr>
                <w:rFonts w:ascii="Times" w:hAnsi="Times" w:cs="Times New Roman"/>
                <w:bCs/>
                <w:color w:val="000000"/>
              </w:rPr>
            </w:pPr>
            <w:r w:rsidRPr="00004F68">
              <w:rPr>
                <w:rFonts w:ascii="Times" w:hAnsi="Times" w:cs="Times New Roman"/>
              </w:rPr>
              <w:t>203.8 (79.6)</w:t>
            </w:r>
          </w:p>
        </w:tc>
        <w:tc>
          <w:tcPr>
            <w:tcW w:w="1440" w:type="dxa"/>
            <w:noWrap/>
            <w:vAlign w:val="bottom"/>
            <w:hideMark/>
          </w:tcPr>
          <w:p w14:paraId="664BEA53" w14:textId="77777777" w:rsidR="00CA454E" w:rsidRPr="00004F68" w:rsidRDefault="00CA454E" w:rsidP="00004F68">
            <w:pPr>
              <w:spacing w:before="120"/>
              <w:contextualSpacing/>
              <w:rPr>
                <w:rFonts w:ascii="Times" w:hAnsi="Times" w:cs="Times New Roman"/>
                <w:bCs/>
                <w:color w:val="000000"/>
              </w:rPr>
            </w:pPr>
            <w:r w:rsidRPr="00004F68">
              <w:rPr>
                <w:rFonts w:ascii="Times" w:hAnsi="Times" w:cs="Times New Roman"/>
              </w:rPr>
              <w:t>0.002</w:t>
            </w:r>
          </w:p>
        </w:tc>
      </w:tr>
      <w:tr w:rsidR="00CA454E" w:rsidRPr="00004F68" w14:paraId="3632F6B7" w14:textId="77777777" w:rsidTr="005B7582">
        <w:trPr>
          <w:trHeight w:val="260"/>
        </w:trPr>
        <w:tc>
          <w:tcPr>
            <w:tcW w:w="3145" w:type="dxa"/>
            <w:noWrap/>
            <w:hideMark/>
          </w:tcPr>
          <w:p w14:paraId="296F6B9C" w14:textId="77777777" w:rsidR="00CA454E" w:rsidRPr="00004F68" w:rsidRDefault="00CA454E" w:rsidP="00004F68">
            <w:pPr>
              <w:spacing w:before="120"/>
              <w:contextualSpacing/>
              <w:rPr>
                <w:rFonts w:ascii="Times" w:hAnsi="Times" w:cs="Times New Roman"/>
                <w:bCs/>
                <w:color w:val="000000"/>
              </w:rPr>
            </w:pPr>
            <w:r w:rsidRPr="00004F68">
              <w:rPr>
                <w:rFonts w:ascii="Times" w:hAnsi="Times" w:cs="Times New Roman"/>
                <w:bCs/>
                <w:color w:val="000000"/>
              </w:rPr>
              <w:t>Total exposure per run, mean (SD)</w:t>
            </w:r>
          </w:p>
        </w:tc>
        <w:tc>
          <w:tcPr>
            <w:tcW w:w="1800" w:type="dxa"/>
            <w:noWrap/>
            <w:vAlign w:val="bottom"/>
            <w:hideMark/>
          </w:tcPr>
          <w:p w14:paraId="327FFD44" w14:textId="77777777" w:rsidR="00CA454E" w:rsidRPr="00004F68" w:rsidRDefault="00CA454E" w:rsidP="00004F68">
            <w:pPr>
              <w:spacing w:before="120"/>
              <w:contextualSpacing/>
              <w:rPr>
                <w:rFonts w:ascii="Times" w:hAnsi="Times" w:cs="Times New Roman"/>
                <w:bCs/>
                <w:color w:val="000000"/>
              </w:rPr>
            </w:pPr>
            <w:r w:rsidRPr="00004F68">
              <w:rPr>
                <w:rFonts w:ascii="Times" w:hAnsi="Times" w:cs="Times New Roman"/>
              </w:rPr>
              <w:t>537.9 (115.5)</w:t>
            </w:r>
          </w:p>
        </w:tc>
        <w:tc>
          <w:tcPr>
            <w:tcW w:w="1710" w:type="dxa"/>
            <w:noWrap/>
            <w:vAlign w:val="bottom"/>
            <w:hideMark/>
          </w:tcPr>
          <w:p w14:paraId="7323D904" w14:textId="77777777" w:rsidR="00CA454E" w:rsidRPr="00004F68" w:rsidRDefault="00CA454E" w:rsidP="00004F68">
            <w:pPr>
              <w:spacing w:before="120"/>
              <w:contextualSpacing/>
              <w:rPr>
                <w:rFonts w:ascii="Times" w:hAnsi="Times" w:cs="Times New Roman"/>
                <w:bCs/>
                <w:color w:val="000000"/>
              </w:rPr>
            </w:pPr>
            <w:r w:rsidRPr="00004F68">
              <w:rPr>
                <w:rFonts w:ascii="Times" w:hAnsi="Times" w:cs="Times New Roman"/>
              </w:rPr>
              <w:t>353.5 (71.4)</w:t>
            </w:r>
          </w:p>
        </w:tc>
        <w:tc>
          <w:tcPr>
            <w:tcW w:w="1440" w:type="dxa"/>
            <w:noWrap/>
            <w:vAlign w:val="bottom"/>
            <w:hideMark/>
          </w:tcPr>
          <w:p w14:paraId="41495AF3" w14:textId="77777777" w:rsidR="00CA454E" w:rsidRPr="00004F68" w:rsidRDefault="00CA454E" w:rsidP="00004F68">
            <w:pPr>
              <w:spacing w:before="120"/>
              <w:contextualSpacing/>
              <w:rPr>
                <w:rFonts w:ascii="Times" w:hAnsi="Times" w:cs="Times New Roman"/>
                <w:bCs/>
                <w:color w:val="000000"/>
              </w:rPr>
            </w:pPr>
            <w:r w:rsidRPr="00004F68">
              <w:rPr>
                <w:rFonts w:ascii="Times" w:hAnsi="Times" w:cs="Times New Roman"/>
              </w:rPr>
              <w:t>0.002</w:t>
            </w:r>
          </w:p>
        </w:tc>
      </w:tr>
      <w:tr w:rsidR="00CA454E" w:rsidRPr="00004F68" w14:paraId="20DDEE08" w14:textId="77777777" w:rsidTr="005B7582">
        <w:trPr>
          <w:trHeight w:val="260"/>
        </w:trPr>
        <w:tc>
          <w:tcPr>
            <w:tcW w:w="3145" w:type="dxa"/>
            <w:noWrap/>
            <w:hideMark/>
          </w:tcPr>
          <w:p w14:paraId="5C2FAD89" w14:textId="77777777" w:rsidR="00CA454E" w:rsidRPr="00004F68" w:rsidRDefault="00CA454E" w:rsidP="00004F68">
            <w:pPr>
              <w:spacing w:before="120"/>
              <w:contextualSpacing/>
              <w:rPr>
                <w:rFonts w:ascii="Times" w:hAnsi="Times" w:cs="Times New Roman"/>
                <w:bCs/>
                <w:color w:val="000000"/>
              </w:rPr>
            </w:pPr>
            <w:r w:rsidRPr="00004F68">
              <w:rPr>
                <w:rFonts w:ascii="Times" w:hAnsi="Times" w:cs="Times New Roman"/>
                <w:bCs/>
                <w:color w:val="000000"/>
              </w:rPr>
              <w:t>N of runs, mean (SD)</w:t>
            </w:r>
          </w:p>
        </w:tc>
        <w:tc>
          <w:tcPr>
            <w:tcW w:w="1800" w:type="dxa"/>
            <w:noWrap/>
            <w:vAlign w:val="bottom"/>
            <w:hideMark/>
          </w:tcPr>
          <w:p w14:paraId="2C213F8E" w14:textId="77777777" w:rsidR="00CA454E" w:rsidRPr="00004F68" w:rsidRDefault="00CA454E" w:rsidP="00004F68">
            <w:pPr>
              <w:spacing w:before="120"/>
              <w:contextualSpacing/>
              <w:rPr>
                <w:rFonts w:ascii="Times" w:hAnsi="Times" w:cs="Times New Roman"/>
                <w:bCs/>
                <w:color w:val="000000"/>
              </w:rPr>
            </w:pPr>
            <w:r w:rsidRPr="00004F68">
              <w:rPr>
                <w:rFonts w:ascii="Times" w:hAnsi="Times" w:cs="Times New Roman"/>
              </w:rPr>
              <w:t>16.9 (4.3)</w:t>
            </w:r>
          </w:p>
        </w:tc>
        <w:tc>
          <w:tcPr>
            <w:tcW w:w="1710" w:type="dxa"/>
            <w:noWrap/>
            <w:vAlign w:val="bottom"/>
            <w:hideMark/>
          </w:tcPr>
          <w:p w14:paraId="128FFBD0" w14:textId="77777777" w:rsidR="00CA454E" w:rsidRPr="00004F68" w:rsidRDefault="00CA454E" w:rsidP="00004F68">
            <w:pPr>
              <w:spacing w:before="120"/>
              <w:contextualSpacing/>
              <w:rPr>
                <w:rFonts w:ascii="Times" w:hAnsi="Times" w:cs="Times New Roman"/>
                <w:bCs/>
                <w:color w:val="000000"/>
              </w:rPr>
            </w:pPr>
            <w:r w:rsidRPr="00004F68">
              <w:rPr>
                <w:rFonts w:ascii="Times" w:hAnsi="Times" w:cs="Times New Roman"/>
              </w:rPr>
              <w:t>15.6 (4.6)</w:t>
            </w:r>
          </w:p>
        </w:tc>
        <w:tc>
          <w:tcPr>
            <w:tcW w:w="1440" w:type="dxa"/>
            <w:noWrap/>
            <w:vAlign w:val="bottom"/>
            <w:hideMark/>
          </w:tcPr>
          <w:p w14:paraId="38BC0A25" w14:textId="77777777" w:rsidR="00CA454E" w:rsidRPr="00004F68" w:rsidRDefault="00CA454E" w:rsidP="00004F68">
            <w:pPr>
              <w:spacing w:before="120"/>
              <w:contextualSpacing/>
              <w:rPr>
                <w:rFonts w:ascii="Times" w:hAnsi="Times" w:cs="Times New Roman"/>
                <w:bCs/>
                <w:color w:val="000000"/>
              </w:rPr>
            </w:pPr>
            <w:r w:rsidRPr="00004F68">
              <w:rPr>
                <w:rFonts w:ascii="Times" w:hAnsi="Times" w:cs="Times New Roman"/>
              </w:rPr>
              <w:t>0.58</w:t>
            </w:r>
          </w:p>
        </w:tc>
      </w:tr>
      <w:tr w:rsidR="00CA454E" w:rsidRPr="00004F68" w14:paraId="44937F57" w14:textId="77777777" w:rsidTr="005B7582">
        <w:trPr>
          <w:trHeight w:val="260"/>
        </w:trPr>
        <w:tc>
          <w:tcPr>
            <w:tcW w:w="3145" w:type="dxa"/>
            <w:noWrap/>
            <w:hideMark/>
          </w:tcPr>
          <w:p w14:paraId="7D017268" w14:textId="77777777" w:rsidR="00CA454E" w:rsidRPr="00004F68" w:rsidRDefault="00CA454E" w:rsidP="00004F68">
            <w:pPr>
              <w:spacing w:before="120"/>
              <w:contextualSpacing/>
              <w:rPr>
                <w:rFonts w:ascii="Times" w:hAnsi="Times" w:cs="Times New Roman"/>
                <w:bCs/>
                <w:color w:val="000000"/>
              </w:rPr>
            </w:pPr>
            <w:r w:rsidRPr="00004F68">
              <w:rPr>
                <w:rFonts w:ascii="Times" w:hAnsi="Times" w:cs="Times New Roman"/>
                <w:bCs/>
                <w:color w:val="000000"/>
              </w:rPr>
              <w:lastRenderedPageBreak/>
              <w:t>Total mGy per run, mean (SD)</w:t>
            </w:r>
          </w:p>
        </w:tc>
        <w:tc>
          <w:tcPr>
            <w:tcW w:w="1800" w:type="dxa"/>
            <w:noWrap/>
            <w:vAlign w:val="bottom"/>
            <w:hideMark/>
          </w:tcPr>
          <w:p w14:paraId="3B8F0741" w14:textId="77777777" w:rsidR="00CA454E" w:rsidRPr="00004F68" w:rsidRDefault="00CA454E" w:rsidP="00004F68">
            <w:pPr>
              <w:spacing w:before="120"/>
              <w:contextualSpacing/>
              <w:rPr>
                <w:rFonts w:ascii="Times" w:hAnsi="Times" w:cs="Times New Roman"/>
                <w:bCs/>
                <w:color w:val="000000"/>
              </w:rPr>
            </w:pPr>
            <w:r w:rsidRPr="00004F68">
              <w:rPr>
                <w:rFonts w:ascii="Times" w:hAnsi="Times" w:cs="Times New Roman"/>
              </w:rPr>
              <w:t>40.3 (6.9)</w:t>
            </w:r>
          </w:p>
        </w:tc>
        <w:tc>
          <w:tcPr>
            <w:tcW w:w="1710" w:type="dxa"/>
            <w:noWrap/>
            <w:vAlign w:val="bottom"/>
            <w:hideMark/>
          </w:tcPr>
          <w:p w14:paraId="79160BAC" w14:textId="77777777" w:rsidR="00CA454E" w:rsidRPr="00004F68" w:rsidRDefault="00CA454E" w:rsidP="00004F68">
            <w:pPr>
              <w:spacing w:before="120"/>
              <w:contextualSpacing/>
              <w:rPr>
                <w:rFonts w:ascii="Times" w:hAnsi="Times" w:cs="Times New Roman"/>
                <w:bCs/>
                <w:color w:val="000000"/>
              </w:rPr>
            </w:pPr>
            <w:r w:rsidRPr="00004F68">
              <w:rPr>
                <w:rFonts w:ascii="Times" w:hAnsi="Times" w:cs="Times New Roman"/>
              </w:rPr>
              <w:t>25.7 (6.4)</w:t>
            </w:r>
          </w:p>
        </w:tc>
        <w:tc>
          <w:tcPr>
            <w:tcW w:w="1440" w:type="dxa"/>
            <w:noWrap/>
            <w:vAlign w:val="bottom"/>
            <w:hideMark/>
          </w:tcPr>
          <w:p w14:paraId="5DCAB520" w14:textId="77777777" w:rsidR="00CA454E" w:rsidRPr="00004F68" w:rsidRDefault="00CA454E" w:rsidP="00004F68">
            <w:pPr>
              <w:spacing w:before="120"/>
              <w:contextualSpacing/>
              <w:rPr>
                <w:rFonts w:ascii="Times" w:hAnsi="Times" w:cs="Times New Roman"/>
                <w:bCs/>
                <w:color w:val="000000"/>
              </w:rPr>
            </w:pPr>
            <w:r w:rsidRPr="00004F68">
              <w:rPr>
                <w:rFonts w:ascii="Times" w:hAnsi="Times" w:cs="Times New Roman"/>
              </w:rPr>
              <w:t>&lt;0.001</w:t>
            </w:r>
          </w:p>
        </w:tc>
      </w:tr>
    </w:tbl>
    <w:p w14:paraId="313757D6" w14:textId="07B85D08" w:rsidR="00CA454E" w:rsidRPr="00004F68" w:rsidRDefault="00CA454E" w:rsidP="00004F68">
      <w:pPr>
        <w:spacing w:before="120"/>
        <w:rPr>
          <w:rFonts w:ascii="Times" w:hAnsi="Times"/>
        </w:rPr>
      </w:pPr>
    </w:p>
    <w:p w14:paraId="6D98C345" w14:textId="77777777" w:rsidR="000C0EBD" w:rsidRPr="00004F68" w:rsidRDefault="000C0EBD" w:rsidP="00004F68">
      <w:pPr>
        <w:spacing w:before="120"/>
        <w:rPr>
          <w:rFonts w:ascii="Times" w:hAnsi="Times"/>
        </w:rPr>
      </w:pPr>
    </w:p>
    <w:sectPr w:rsidR="000C0EBD" w:rsidRPr="00004F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2A9"/>
    <w:rsid w:val="00004F68"/>
    <w:rsid w:val="0001224E"/>
    <w:rsid w:val="00086B6F"/>
    <w:rsid w:val="000C0EAC"/>
    <w:rsid w:val="000C0EBD"/>
    <w:rsid w:val="0015180D"/>
    <w:rsid w:val="001578EF"/>
    <w:rsid w:val="001651DB"/>
    <w:rsid w:val="001829C9"/>
    <w:rsid w:val="001950CC"/>
    <w:rsid w:val="001A556A"/>
    <w:rsid w:val="001D378A"/>
    <w:rsid w:val="001E285C"/>
    <w:rsid w:val="00200094"/>
    <w:rsid w:val="00212569"/>
    <w:rsid w:val="00214C66"/>
    <w:rsid w:val="002358DF"/>
    <w:rsid w:val="0024266A"/>
    <w:rsid w:val="00246FF0"/>
    <w:rsid w:val="002A563F"/>
    <w:rsid w:val="003052A9"/>
    <w:rsid w:val="00321589"/>
    <w:rsid w:val="003B1F88"/>
    <w:rsid w:val="003D0867"/>
    <w:rsid w:val="003D1BF6"/>
    <w:rsid w:val="003D7B08"/>
    <w:rsid w:val="00480451"/>
    <w:rsid w:val="00632BCE"/>
    <w:rsid w:val="00652BA6"/>
    <w:rsid w:val="006537AE"/>
    <w:rsid w:val="006609E4"/>
    <w:rsid w:val="006F078D"/>
    <w:rsid w:val="00755CEA"/>
    <w:rsid w:val="00756AE9"/>
    <w:rsid w:val="007D6D1D"/>
    <w:rsid w:val="00825554"/>
    <w:rsid w:val="00826D3B"/>
    <w:rsid w:val="00870A30"/>
    <w:rsid w:val="008C52B5"/>
    <w:rsid w:val="009B28F6"/>
    <w:rsid w:val="009D29BA"/>
    <w:rsid w:val="009F6F54"/>
    <w:rsid w:val="00A1611C"/>
    <w:rsid w:val="00A2104F"/>
    <w:rsid w:val="00A33739"/>
    <w:rsid w:val="00B338A8"/>
    <w:rsid w:val="00B4083B"/>
    <w:rsid w:val="00B46970"/>
    <w:rsid w:val="00B57295"/>
    <w:rsid w:val="00BB37CD"/>
    <w:rsid w:val="00C16C1C"/>
    <w:rsid w:val="00C23138"/>
    <w:rsid w:val="00C25087"/>
    <w:rsid w:val="00C631BE"/>
    <w:rsid w:val="00C7630E"/>
    <w:rsid w:val="00C95430"/>
    <w:rsid w:val="00CA454E"/>
    <w:rsid w:val="00CE2F7B"/>
    <w:rsid w:val="00D20228"/>
    <w:rsid w:val="00D20815"/>
    <w:rsid w:val="00D55543"/>
    <w:rsid w:val="00D60507"/>
    <w:rsid w:val="00D84B33"/>
    <w:rsid w:val="00DA0953"/>
    <w:rsid w:val="00DA6096"/>
    <w:rsid w:val="00DB0A4B"/>
    <w:rsid w:val="00DB5AB0"/>
    <w:rsid w:val="00DF0EC7"/>
    <w:rsid w:val="00E13878"/>
    <w:rsid w:val="00EA15A9"/>
    <w:rsid w:val="00EE43EF"/>
    <w:rsid w:val="00EE561B"/>
    <w:rsid w:val="00EF66E9"/>
    <w:rsid w:val="00F00B26"/>
    <w:rsid w:val="00FA0D73"/>
    <w:rsid w:val="00FD3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29F70D"/>
  <w15:chartTrackingRefBased/>
  <w15:docId w15:val="{1579CA98-A853-7E40-AA83-1FB63FA08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A454E"/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4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799</Words>
  <Characters>4555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</cp:revision>
  <dcterms:created xsi:type="dcterms:W3CDTF">2023-04-04T03:30:00Z</dcterms:created>
  <dcterms:modified xsi:type="dcterms:W3CDTF">2023-05-31T19:37:00Z</dcterms:modified>
</cp:coreProperties>
</file>